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0AE" w:rsidRDefault="00F6758F">
      <w:pPr>
        <w:pBdr>
          <w:top w:val="single" w:sz="4" w:space="1" w:color="000000"/>
          <w:bottom w:val="single" w:sz="4" w:space="1" w:color="000000"/>
        </w:pBdr>
        <w:jc w:val="center"/>
        <w:rPr>
          <w:b/>
          <w:sz w:val="52"/>
        </w:rPr>
      </w:pPr>
      <w:r>
        <w:rPr>
          <w:b/>
          <w:sz w:val="52"/>
        </w:rPr>
        <w:t xml:space="preserve">Relazione annuale RPCT </w:t>
      </w:r>
    </w:p>
    <w:p w:rsidR="006440AE" w:rsidRDefault="006440AE">
      <w:pPr>
        <w:pBdr>
          <w:top w:val="single" w:sz="4" w:space="1" w:color="000000"/>
          <w:bottom w:val="single" w:sz="4" w:space="1" w:color="000000"/>
        </w:pBdr>
        <w:jc w:val="center"/>
        <w:rPr>
          <w:b/>
          <w:sz w:val="44"/>
        </w:rPr>
      </w:pPr>
    </w:p>
    <w:p w:rsidR="006440AE" w:rsidRDefault="00F6758F">
      <w:pPr>
        <w:pBdr>
          <w:top w:val="single" w:sz="4" w:space="1" w:color="000000"/>
          <w:bottom w:val="single" w:sz="4" w:space="1" w:color="000000"/>
        </w:pBdr>
        <w:jc w:val="center"/>
        <w:rPr>
          <w:b/>
          <w:sz w:val="44"/>
        </w:rPr>
      </w:pPr>
      <w:r>
        <w:rPr>
          <w:b/>
          <w:sz w:val="44"/>
        </w:rPr>
        <w:t xml:space="preserve">Anno 2024 </w:t>
      </w:r>
    </w:p>
    <w:p w:rsidR="006440AE" w:rsidRDefault="006440AE"/>
    <w:p w:rsidR="006440AE" w:rsidRDefault="006440AE"/>
    <w:p w:rsidR="006440AE" w:rsidRDefault="006440AE"/>
    <w:sdt>
      <w:sdtPr>
        <w:rPr>
          <w:rFonts w:eastAsia="Times New Roman"/>
          <w:b w:val="0"/>
          <w:bCs w:val="0"/>
          <w:i w:val="0"/>
          <w:iCs w:val="0"/>
          <w:lang w:eastAsia="it-IT"/>
        </w:rPr>
        <w:id w:val="416755937"/>
        <w:docPartObj>
          <w:docPartGallery w:val="Table of Contents"/>
          <w:docPartUnique/>
        </w:docPartObj>
      </w:sdtPr>
      <w:sdtContent>
        <w:p w:rsidR="006440AE" w:rsidRDefault="00F6758F">
          <w:pPr>
            <w:pStyle w:val="Sommario1"/>
            <w:spacing w:before="0"/>
          </w:pPr>
          <w:r>
            <w:br w:type="page"/>
          </w:r>
          <w:r>
            <w:lastRenderedPageBreak/>
            <w:t>INDICE</w:t>
          </w:r>
        </w:p>
        <w:p w:rsidR="00181D89" w:rsidRDefault="00F6758F">
          <w:pPr>
            <w:pStyle w:val="Sommario1"/>
            <w:tabs>
              <w:tab w:val="left" w:pos="1680"/>
              <w:tab w:val="right" w:leader="dot" w:pos="9628"/>
            </w:tabs>
            <w:rPr>
              <w:rFonts w:asciiTheme="minorHAnsi" w:eastAsiaTheme="minorEastAsia" w:hAnsiTheme="minorHAnsi" w:cstheme="minorBidi"/>
              <w:b w:val="0"/>
              <w:bCs w:val="0"/>
              <w:i w:val="0"/>
              <w:iCs w:val="0"/>
              <w:noProof/>
              <w:sz w:val="22"/>
              <w:szCs w:val="22"/>
              <w:lang w:eastAsia="it-IT"/>
            </w:rPr>
          </w:pPr>
          <w:r>
            <w:fldChar w:fldCharType="begin"/>
          </w:r>
          <w:r>
            <w:rPr>
              <w:rStyle w:val="Saltoaindice"/>
              <w:webHidden/>
            </w:rPr>
            <w:instrText xml:space="preserve"> TOC \z \o "1-3" \u \h</w:instrText>
          </w:r>
          <w:r>
            <w:rPr>
              <w:rStyle w:val="Saltoaindice"/>
            </w:rPr>
            <w:fldChar w:fldCharType="separate"/>
          </w:r>
          <w:hyperlink w:anchor="_Toc189121485" w:history="1">
            <w:r w:rsidR="00181D89" w:rsidRPr="000A5BE5">
              <w:rPr>
                <w:rStyle w:val="Collegamentoipertestuale"/>
                <w:noProof/>
              </w:rPr>
              <w:t>SEZIONE 1</w:t>
            </w:r>
            <w:r w:rsidR="00181D89">
              <w:rPr>
                <w:rFonts w:asciiTheme="minorHAnsi" w:eastAsiaTheme="minorEastAsia" w:hAnsiTheme="minorHAnsi" w:cstheme="minorBidi"/>
                <w:b w:val="0"/>
                <w:bCs w:val="0"/>
                <w:i w:val="0"/>
                <w:iCs w:val="0"/>
                <w:noProof/>
                <w:sz w:val="22"/>
                <w:szCs w:val="22"/>
                <w:lang w:eastAsia="it-IT"/>
              </w:rPr>
              <w:tab/>
            </w:r>
            <w:r w:rsidR="00181D89" w:rsidRPr="000A5BE5">
              <w:rPr>
                <w:rStyle w:val="Collegamentoipertestuale"/>
                <w:noProof/>
              </w:rPr>
              <w:t>ANAGRAFICA AMMINISTRAZIONE</w:t>
            </w:r>
            <w:r w:rsidR="00181D89">
              <w:rPr>
                <w:noProof/>
                <w:webHidden/>
              </w:rPr>
              <w:tab/>
            </w:r>
            <w:r w:rsidR="00181D89">
              <w:rPr>
                <w:noProof/>
                <w:webHidden/>
              </w:rPr>
              <w:fldChar w:fldCharType="begin"/>
            </w:r>
            <w:r w:rsidR="00181D89">
              <w:rPr>
                <w:noProof/>
                <w:webHidden/>
              </w:rPr>
              <w:instrText xml:space="preserve"> PAGEREF _Toc189121485 \h </w:instrText>
            </w:r>
            <w:r w:rsidR="00181D89">
              <w:rPr>
                <w:noProof/>
                <w:webHidden/>
              </w:rPr>
            </w:r>
            <w:r w:rsidR="00181D89">
              <w:rPr>
                <w:noProof/>
                <w:webHidden/>
              </w:rPr>
              <w:fldChar w:fldCharType="separate"/>
            </w:r>
            <w:r w:rsidR="00CE69EB">
              <w:rPr>
                <w:noProof/>
                <w:webHidden/>
              </w:rPr>
              <w:t>3</w:t>
            </w:r>
            <w:r w:rsidR="00181D89">
              <w:rPr>
                <w:noProof/>
                <w:webHidden/>
              </w:rPr>
              <w:fldChar w:fldCharType="end"/>
            </w:r>
          </w:hyperlink>
        </w:p>
        <w:p w:rsidR="00181D89" w:rsidRDefault="00181D89">
          <w:pPr>
            <w:pStyle w:val="Sommario1"/>
            <w:tabs>
              <w:tab w:val="left" w:pos="1680"/>
              <w:tab w:val="right" w:leader="dot" w:pos="9628"/>
            </w:tabs>
            <w:rPr>
              <w:rFonts w:asciiTheme="minorHAnsi" w:eastAsiaTheme="minorEastAsia" w:hAnsiTheme="minorHAnsi" w:cstheme="minorBidi"/>
              <w:b w:val="0"/>
              <w:bCs w:val="0"/>
              <w:i w:val="0"/>
              <w:iCs w:val="0"/>
              <w:noProof/>
              <w:sz w:val="22"/>
              <w:szCs w:val="22"/>
              <w:lang w:eastAsia="it-IT"/>
            </w:rPr>
          </w:pPr>
          <w:hyperlink w:anchor="_Toc189121486" w:history="1">
            <w:r w:rsidRPr="000A5BE5">
              <w:rPr>
                <w:rStyle w:val="Collegamentoipertestuale"/>
                <w:noProof/>
              </w:rPr>
              <w:t>SEZIONE 2</w:t>
            </w:r>
            <w:r>
              <w:rPr>
                <w:rFonts w:asciiTheme="minorHAnsi" w:eastAsiaTheme="minorEastAsia" w:hAnsiTheme="minorHAnsi" w:cstheme="minorBidi"/>
                <w:b w:val="0"/>
                <w:bCs w:val="0"/>
                <w:i w:val="0"/>
                <w:iCs w:val="0"/>
                <w:noProof/>
                <w:sz w:val="22"/>
                <w:szCs w:val="22"/>
                <w:lang w:eastAsia="it-IT"/>
              </w:rPr>
              <w:tab/>
            </w:r>
            <w:r w:rsidRPr="000A5BE5">
              <w:rPr>
                <w:rStyle w:val="Collegamentoipertestuale"/>
                <w:noProof/>
              </w:rPr>
              <w:t>ANAGRAFICA RPCT</w:t>
            </w:r>
            <w:r>
              <w:rPr>
                <w:noProof/>
                <w:webHidden/>
              </w:rPr>
              <w:tab/>
            </w:r>
            <w:r>
              <w:rPr>
                <w:noProof/>
                <w:webHidden/>
              </w:rPr>
              <w:fldChar w:fldCharType="begin"/>
            </w:r>
            <w:r>
              <w:rPr>
                <w:noProof/>
                <w:webHidden/>
              </w:rPr>
              <w:instrText xml:space="preserve"> PAGEREF _Toc189121486 \h </w:instrText>
            </w:r>
            <w:r>
              <w:rPr>
                <w:noProof/>
                <w:webHidden/>
              </w:rPr>
            </w:r>
            <w:r>
              <w:rPr>
                <w:noProof/>
                <w:webHidden/>
              </w:rPr>
              <w:fldChar w:fldCharType="separate"/>
            </w:r>
            <w:r w:rsidR="00CE69EB">
              <w:rPr>
                <w:noProof/>
                <w:webHidden/>
              </w:rPr>
              <w:t>3</w:t>
            </w:r>
            <w:r>
              <w:rPr>
                <w:noProof/>
                <w:webHidden/>
              </w:rPr>
              <w:fldChar w:fldCharType="end"/>
            </w:r>
          </w:hyperlink>
        </w:p>
        <w:p w:rsidR="00181D89" w:rsidRDefault="00181D89">
          <w:pPr>
            <w:pStyle w:val="Sommario1"/>
            <w:tabs>
              <w:tab w:val="left" w:pos="1680"/>
              <w:tab w:val="right" w:leader="dot" w:pos="9628"/>
            </w:tabs>
            <w:rPr>
              <w:rFonts w:asciiTheme="minorHAnsi" w:eastAsiaTheme="minorEastAsia" w:hAnsiTheme="minorHAnsi" w:cstheme="minorBidi"/>
              <w:b w:val="0"/>
              <w:bCs w:val="0"/>
              <w:i w:val="0"/>
              <w:iCs w:val="0"/>
              <w:noProof/>
              <w:sz w:val="22"/>
              <w:szCs w:val="22"/>
              <w:lang w:eastAsia="it-IT"/>
            </w:rPr>
          </w:pPr>
          <w:hyperlink w:anchor="_Toc189121487" w:history="1">
            <w:r w:rsidRPr="000A5BE5">
              <w:rPr>
                <w:rStyle w:val="Collegamentoipertestuale"/>
                <w:noProof/>
              </w:rPr>
              <w:t>SEZIONE 3</w:t>
            </w:r>
            <w:r>
              <w:rPr>
                <w:rFonts w:asciiTheme="minorHAnsi" w:eastAsiaTheme="minorEastAsia" w:hAnsiTheme="minorHAnsi" w:cstheme="minorBidi"/>
                <w:b w:val="0"/>
                <w:bCs w:val="0"/>
                <w:i w:val="0"/>
                <w:iCs w:val="0"/>
                <w:noProof/>
                <w:sz w:val="22"/>
                <w:szCs w:val="22"/>
                <w:lang w:eastAsia="it-IT"/>
              </w:rPr>
              <w:tab/>
            </w:r>
            <w:r w:rsidRPr="000A5BE5">
              <w:rPr>
                <w:rStyle w:val="Collegamentoipertestuale"/>
                <w:noProof/>
              </w:rPr>
              <w:t>RENDICONTAZIONE MISURE GENERALI</w:t>
            </w:r>
            <w:r>
              <w:rPr>
                <w:noProof/>
                <w:webHidden/>
              </w:rPr>
              <w:tab/>
            </w:r>
            <w:r>
              <w:rPr>
                <w:noProof/>
                <w:webHidden/>
              </w:rPr>
              <w:fldChar w:fldCharType="begin"/>
            </w:r>
            <w:r>
              <w:rPr>
                <w:noProof/>
                <w:webHidden/>
              </w:rPr>
              <w:instrText xml:space="preserve"> PAGEREF _Toc189121487 \h </w:instrText>
            </w:r>
            <w:r>
              <w:rPr>
                <w:noProof/>
                <w:webHidden/>
              </w:rPr>
            </w:r>
            <w:r>
              <w:rPr>
                <w:noProof/>
                <w:webHidden/>
              </w:rPr>
              <w:fldChar w:fldCharType="separate"/>
            </w:r>
            <w:r w:rsidR="00CE69EB">
              <w:rPr>
                <w:noProof/>
                <w:webHidden/>
              </w:rPr>
              <w:t>3</w:t>
            </w:r>
            <w:r>
              <w:rPr>
                <w:noProof/>
                <w:webHidden/>
              </w:rPr>
              <w:fldChar w:fldCharType="end"/>
            </w:r>
          </w:hyperlink>
        </w:p>
        <w:p w:rsidR="00181D89" w:rsidRDefault="00181D89">
          <w:pPr>
            <w:pStyle w:val="Sommario2"/>
            <w:tabs>
              <w:tab w:val="left" w:pos="960"/>
              <w:tab w:val="right" w:leader="dot" w:pos="9628"/>
            </w:tabs>
            <w:rPr>
              <w:rFonts w:asciiTheme="minorHAnsi" w:eastAsiaTheme="minorEastAsia" w:hAnsiTheme="minorHAnsi" w:cstheme="minorBidi"/>
              <w:b w:val="0"/>
              <w:bCs w:val="0"/>
              <w:noProof/>
            </w:rPr>
          </w:pPr>
          <w:hyperlink w:anchor="_Toc189121488" w:history="1">
            <w:r w:rsidRPr="000A5BE5">
              <w:rPr>
                <w:rStyle w:val="Collegamentoipertestuale"/>
                <w:rFonts w:eastAsiaTheme="majorEastAsia"/>
                <w:noProof/>
              </w:rPr>
              <w:t>3.1</w:t>
            </w:r>
            <w:r>
              <w:rPr>
                <w:rFonts w:asciiTheme="minorHAnsi" w:eastAsiaTheme="minorEastAsia" w:hAnsiTheme="minorHAnsi" w:cstheme="minorBidi"/>
                <w:b w:val="0"/>
                <w:bCs w:val="0"/>
                <w:noProof/>
              </w:rPr>
              <w:tab/>
            </w:r>
            <w:r w:rsidRPr="000A5BE5">
              <w:rPr>
                <w:rStyle w:val="Collegamentoipertestuale"/>
                <w:rFonts w:eastAsiaTheme="majorEastAsia"/>
                <w:noProof/>
              </w:rPr>
              <w:t>Sintesi dell’attuazione delle misure generali</w:t>
            </w:r>
            <w:r>
              <w:rPr>
                <w:noProof/>
                <w:webHidden/>
              </w:rPr>
              <w:tab/>
            </w:r>
            <w:r>
              <w:rPr>
                <w:noProof/>
                <w:webHidden/>
              </w:rPr>
              <w:fldChar w:fldCharType="begin"/>
            </w:r>
            <w:r>
              <w:rPr>
                <w:noProof/>
                <w:webHidden/>
              </w:rPr>
              <w:instrText xml:space="preserve"> PAGEREF _Toc189121488 \h </w:instrText>
            </w:r>
            <w:r>
              <w:rPr>
                <w:noProof/>
                <w:webHidden/>
              </w:rPr>
            </w:r>
            <w:r>
              <w:rPr>
                <w:noProof/>
                <w:webHidden/>
              </w:rPr>
              <w:fldChar w:fldCharType="separate"/>
            </w:r>
            <w:r w:rsidR="00CE69EB">
              <w:rPr>
                <w:noProof/>
                <w:webHidden/>
              </w:rPr>
              <w:t>3</w:t>
            </w:r>
            <w:r>
              <w:rPr>
                <w:noProof/>
                <w:webHidden/>
              </w:rPr>
              <w:fldChar w:fldCharType="end"/>
            </w:r>
          </w:hyperlink>
        </w:p>
        <w:p w:rsidR="00181D89" w:rsidRDefault="00181D89">
          <w:pPr>
            <w:pStyle w:val="Sommario2"/>
            <w:tabs>
              <w:tab w:val="left" w:pos="960"/>
              <w:tab w:val="right" w:leader="dot" w:pos="9628"/>
            </w:tabs>
            <w:rPr>
              <w:rFonts w:asciiTheme="minorHAnsi" w:eastAsiaTheme="minorEastAsia" w:hAnsiTheme="minorHAnsi" w:cstheme="minorBidi"/>
              <w:b w:val="0"/>
              <w:bCs w:val="0"/>
              <w:noProof/>
            </w:rPr>
          </w:pPr>
          <w:hyperlink w:anchor="_Toc189121489" w:history="1">
            <w:r w:rsidRPr="000A5BE5">
              <w:rPr>
                <w:rStyle w:val="Collegamentoipertestuale"/>
                <w:rFonts w:eastAsiaTheme="majorEastAsia"/>
                <w:noProof/>
              </w:rPr>
              <w:t>3.2</w:t>
            </w:r>
            <w:r>
              <w:rPr>
                <w:rFonts w:asciiTheme="minorHAnsi" w:eastAsiaTheme="minorEastAsia" w:hAnsiTheme="minorHAnsi" w:cstheme="minorBidi"/>
                <w:b w:val="0"/>
                <w:bCs w:val="0"/>
                <w:noProof/>
              </w:rPr>
              <w:tab/>
            </w:r>
            <w:r w:rsidRPr="000A5BE5">
              <w:rPr>
                <w:rStyle w:val="Collegamentoipertestuale"/>
                <w:rFonts w:eastAsiaTheme="majorEastAsia"/>
                <w:noProof/>
              </w:rPr>
              <w:t>Codice di comportamento</w:t>
            </w:r>
            <w:r>
              <w:rPr>
                <w:noProof/>
                <w:webHidden/>
              </w:rPr>
              <w:tab/>
            </w:r>
            <w:r>
              <w:rPr>
                <w:noProof/>
                <w:webHidden/>
              </w:rPr>
              <w:fldChar w:fldCharType="begin"/>
            </w:r>
            <w:r>
              <w:rPr>
                <w:noProof/>
                <w:webHidden/>
              </w:rPr>
              <w:instrText xml:space="preserve"> PAGEREF _Toc189121489 \h </w:instrText>
            </w:r>
            <w:r>
              <w:rPr>
                <w:noProof/>
                <w:webHidden/>
              </w:rPr>
            </w:r>
            <w:r>
              <w:rPr>
                <w:noProof/>
                <w:webHidden/>
              </w:rPr>
              <w:fldChar w:fldCharType="separate"/>
            </w:r>
            <w:r w:rsidR="00CE69EB">
              <w:rPr>
                <w:noProof/>
                <w:webHidden/>
              </w:rPr>
              <w:t>4</w:t>
            </w:r>
            <w:r>
              <w:rPr>
                <w:noProof/>
                <w:webHidden/>
              </w:rPr>
              <w:fldChar w:fldCharType="end"/>
            </w:r>
          </w:hyperlink>
        </w:p>
        <w:p w:rsidR="00181D89" w:rsidRDefault="00181D89">
          <w:pPr>
            <w:pStyle w:val="Sommario2"/>
            <w:tabs>
              <w:tab w:val="left" w:pos="960"/>
              <w:tab w:val="right" w:leader="dot" w:pos="9628"/>
            </w:tabs>
            <w:rPr>
              <w:rFonts w:asciiTheme="minorHAnsi" w:eastAsiaTheme="minorEastAsia" w:hAnsiTheme="minorHAnsi" w:cstheme="minorBidi"/>
              <w:b w:val="0"/>
              <w:bCs w:val="0"/>
              <w:noProof/>
            </w:rPr>
          </w:pPr>
          <w:hyperlink w:anchor="_Toc189121490" w:history="1">
            <w:r w:rsidRPr="000A5BE5">
              <w:rPr>
                <w:rStyle w:val="Collegamentoipertestuale"/>
                <w:rFonts w:eastAsiaTheme="majorEastAsia"/>
                <w:noProof/>
              </w:rPr>
              <w:t>3.3</w:t>
            </w:r>
            <w:r>
              <w:rPr>
                <w:rFonts w:asciiTheme="minorHAnsi" w:eastAsiaTheme="minorEastAsia" w:hAnsiTheme="minorHAnsi" w:cstheme="minorBidi"/>
                <w:b w:val="0"/>
                <w:bCs w:val="0"/>
                <w:noProof/>
              </w:rPr>
              <w:tab/>
            </w:r>
            <w:r w:rsidRPr="000A5BE5">
              <w:rPr>
                <w:rStyle w:val="Collegamentoipertestuale"/>
                <w:rFonts w:eastAsiaTheme="majorEastAsia"/>
                <w:noProof/>
              </w:rPr>
              <w:t>Rotazione del personale</w:t>
            </w:r>
            <w:r>
              <w:rPr>
                <w:noProof/>
                <w:webHidden/>
              </w:rPr>
              <w:tab/>
            </w:r>
            <w:r>
              <w:rPr>
                <w:noProof/>
                <w:webHidden/>
              </w:rPr>
              <w:fldChar w:fldCharType="begin"/>
            </w:r>
            <w:r>
              <w:rPr>
                <w:noProof/>
                <w:webHidden/>
              </w:rPr>
              <w:instrText xml:space="preserve"> PAGEREF _Toc189121490 \h </w:instrText>
            </w:r>
            <w:r>
              <w:rPr>
                <w:noProof/>
                <w:webHidden/>
              </w:rPr>
            </w:r>
            <w:r>
              <w:rPr>
                <w:noProof/>
                <w:webHidden/>
              </w:rPr>
              <w:fldChar w:fldCharType="separate"/>
            </w:r>
            <w:r w:rsidR="00CE69EB">
              <w:rPr>
                <w:noProof/>
                <w:webHidden/>
              </w:rPr>
              <w:t>5</w:t>
            </w:r>
            <w:r>
              <w:rPr>
                <w:noProof/>
                <w:webHidden/>
              </w:rPr>
              <w:fldChar w:fldCharType="end"/>
            </w:r>
          </w:hyperlink>
        </w:p>
        <w:p w:rsidR="00181D89" w:rsidRDefault="00181D89">
          <w:pPr>
            <w:pStyle w:val="Sommario3"/>
            <w:tabs>
              <w:tab w:val="left" w:pos="1200"/>
              <w:tab w:val="right" w:leader="dot" w:pos="9628"/>
            </w:tabs>
            <w:rPr>
              <w:rFonts w:asciiTheme="minorHAnsi" w:eastAsiaTheme="minorEastAsia" w:hAnsiTheme="minorHAnsi" w:cstheme="minorBidi"/>
              <w:noProof/>
              <w:sz w:val="22"/>
              <w:szCs w:val="22"/>
            </w:rPr>
          </w:pPr>
          <w:hyperlink w:anchor="_Toc189121491" w:history="1">
            <w:r w:rsidRPr="000A5BE5">
              <w:rPr>
                <w:rStyle w:val="Collegamentoipertestuale"/>
                <w:rFonts w:eastAsiaTheme="majorEastAsia"/>
                <w:noProof/>
              </w:rPr>
              <w:t>3.3.1</w:t>
            </w:r>
            <w:r>
              <w:rPr>
                <w:rFonts w:asciiTheme="minorHAnsi" w:eastAsiaTheme="minorEastAsia" w:hAnsiTheme="minorHAnsi" w:cstheme="minorBidi"/>
                <w:noProof/>
                <w:sz w:val="22"/>
                <w:szCs w:val="22"/>
              </w:rPr>
              <w:tab/>
            </w:r>
            <w:r w:rsidRPr="000A5BE5">
              <w:rPr>
                <w:rStyle w:val="Collegamentoipertestuale"/>
                <w:rFonts w:eastAsiaTheme="majorEastAsia"/>
                <w:noProof/>
              </w:rPr>
              <w:t>Rotazione Ordinaria</w:t>
            </w:r>
            <w:r>
              <w:rPr>
                <w:noProof/>
                <w:webHidden/>
              </w:rPr>
              <w:tab/>
            </w:r>
            <w:r>
              <w:rPr>
                <w:noProof/>
                <w:webHidden/>
              </w:rPr>
              <w:fldChar w:fldCharType="begin"/>
            </w:r>
            <w:r>
              <w:rPr>
                <w:noProof/>
                <w:webHidden/>
              </w:rPr>
              <w:instrText xml:space="preserve"> PAGEREF _Toc189121491 \h </w:instrText>
            </w:r>
            <w:r>
              <w:rPr>
                <w:noProof/>
                <w:webHidden/>
              </w:rPr>
            </w:r>
            <w:r>
              <w:rPr>
                <w:noProof/>
                <w:webHidden/>
              </w:rPr>
              <w:fldChar w:fldCharType="separate"/>
            </w:r>
            <w:r w:rsidR="00CE69EB">
              <w:rPr>
                <w:noProof/>
                <w:webHidden/>
              </w:rPr>
              <w:t>5</w:t>
            </w:r>
            <w:r>
              <w:rPr>
                <w:noProof/>
                <w:webHidden/>
              </w:rPr>
              <w:fldChar w:fldCharType="end"/>
            </w:r>
          </w:hyperlink>
        </w:p>
        <w:p w:rsidR="00181D89" w:rsidRDefault="00181D89">
          <w:pPr>
            <w:pStyle w:val="Sommario3"/>
            <w:tabs>
              <w:tab w:val="left" w:pos="1200"/>
              <w:tab w:val="right" w:leader="dot" w:pos="9628"/>
            </w:tabs>
            <w:rPr>
              <w:rFonts w:asciiTheme="minorHAnsi" w:eastAsiaTheme="minorEastAsia" w:hAnsiTheme="minorHAnsi" w:cstheme="minorBidi"/>
              <w:noProof/>
              <w:sz w:val="22"/>
              <w:szCs w:val="22"/>
            </w:rPr>
          </w:pPr>
          <w:hyperlink w:anchor="_Toc189121492" w:history="1">
            <w:r w:rsidRPr="000A5BE5">
              <w:rPr>
                <w:rStyle w:val="Collegamentoipertestuale"/>
                <w:rFonts w:eastAsiaTheme="majorEastAsia"/>
                <w:noProof/>
              </w:rPr>
              <w:t>3.3.2</w:t>
            </w:r>
            <w:r>
              <w:rPr>
                <w:rFonts w:asciiTheme="minorHAnsi" w:eastAsiaTheme="minorEastAsia" w:hAnsiTheme="minorHAnsi" w:cstheme="minorBidi"/>
                <w:noProof/>
                <w:sz w:val="22"/>
                <w:szCs w:val="22"/>
              </w:rPr>
              <w:tab/>
            </w:r>
            <w:r w:rsidRPr="000A5BE5">
              <w:rPr>
                <w:rStyle w:val="Collegamentoipertestuale"/>
                <w:rFonts w:eastAsiaTheme="majorEastAsia"/>
                <w:noProof/>
              </w:rPr>
              <w:t>Rotazione Straordinaria</w:t>
            </w:r>
            <w:r>
              <w:rPr>
                <w:noProof/>
                <w:webHidden/>
              </w:rPr>
              <w:tab/>
            </w:r>
            <w:r>
              <w:rPr>
                <w:noProof/>
                <w:webHidden/>
              </w:rPr>
              <w:fldChar w:fldCharType="begin"/>
            </w:r>
            <w:r>
              <w:rPr>
                <w:noProof/>
                <w:webHidden/>
              </w:rPr>
              <w:instrText xml:space="preserve"> PAGEREF _Toc189121492 \h </w:instrText>
            </w:r>
            <w:r>
              <w:rPr>
                <w:noProof/>
                <w:webHidden/>
              </w:rPr>
            </w:r>
            <w:r>
              <w:rPr>
                <w:noProof/>
                <w:webHidden/>
              </w:rPr>
              <w:fldChar w:fldCharType="separate"/>
            </w:r>
            <w:r w:rsidR="00CE69EB">
              <w:rPr>
                <w:noProof/>
                <w:webHidden/>
              </w:rPr>
              <w:t>6</w:t>
            </w:r>
            <w:r>
              <w:rPr>
                <w:noProof/>
                <w:webHidden/>
              </w:rPr>
              <w:fldChar w:fldCharType="end"/>
            </w:r>
          </w:hyperlink>
        </w:p>
        <w:p w:rsidR="00181D89" w:rsidRDefault="00181D89">
          <w:pPr>
            <w:pStyle w:val="Sommario3"/>
            <w:tabs>
              <w:tab w:val="left" w:pos="1200"/>
              <w:tab w:val="right" w:leader="dot" w:pos="9628"/>
            </w:tabs>
            <w:rPr>
              <w:rFonts w:asciiTheme="minorHAnsi" w:eastAsiaTheme="minorEastAsia" w:hAnsiTheme="minorHAnsi" w:cstheme="minorBidi"/>
              <w:noProof/>
              <w:sz w:val="22"/>
              <w:szCs w:val="22"/>
            </w:rPr>
          </w:pPr>
          <w:hyperlink w:anchor="_Toc189121493" w:history="1">
            <w:r w:rsidRPr="000A5BE5">
              <w:rPr>
                <w:rStyle w:val="Collegamentoipertestuale"/>
                <w:rFonts w:eastAsiaTheme="majorEastAsia"/>
                <w:noProof/>
              </w:rPr>
              <w:t>3.3.3</w:t>
            </w:r>
            <w:r>
              <w:rPr>
                <w:rFonts w:asciiTheme="minorHAnsi" w:eastAsiaTheme="minorEastAsia" w:hAnsiTheme="minorHAnsi" w:cstheme="minorBidi"/>
                <w:noProof/>
                <w:sz w:val="22"/>
                <w:szCs w:val="22"/>
              </w:rPr>
              <w:tab/>
            </w:r>
            <w:r w:rsidRPr="000A5BE5">
              <w:rPr>
                <w:rStyle w:val="Collegamentoipertestuale"/>
                <w:rFonts w:eastAsiaTheme="majorEastAsia"/>
                <w:noProof/>
              </w:rPr>
              <w:t>Trasferimento d’ufficio</w:t>
            </w:r>
            <w:r>
              <w:rPr>
                <w:noProof/>
                <w:webHidden/>
              </w:rPr>
              <w:tab/>
            </w:r>
            <w:r>
              <w:rPr>
                <w:noProof/>
                <w:webHidden/>
              </w:rPr>
              <w:fldChar w:fldCharType="begin"/>
            </w:r>
            <w:r>
              <w:rPr>
                <w:noProof/>
                <w:webHidden/>
              </w:rPr>
              <w:instrText xml:space="preserve"> PAGEREF _Toc189121493 \h </w:instrText>
            </w:r>
            <w:r>
              <w:rPr>
                <w:noProof/>
                <w:webHidden/>
              </w:rPr>
            </w:r>
            <w:r>
              <w:rPr>
                <w:noProof/>
                <w:webHidden/>
              </w:rPr>
              <w:fldChar w:fldCharType="separate"/>
            </w:r>
            <w:r w:rsidR="00CE69EB">
              <w:rPr>
                <w:noProof/>
                <w:webHidden/>
              </w:rPr>
              <w:t>6</w:t>
            </w:r>
            <w:r>
              <w:rPr>
                <w:noProof/>
                <w:webHidden/>
              </w:rPr>
              <w:fldChar w:fldCharType="end"/>
            </w:r>
          </w:hyperlink>
        </w:p>
        <w:p w:rsidR="00181D89" w:rsidRDefault="00181D89">
          <w:pPr>
            <w:pStyle w:val="Sommario2"/>
            <w:tabs>
              <w:tab w:val="left" w:pos="960"/>
              <w:tab w:val="right" w:leader="dot" w:pos="9628"/>
            </w:tabs>
            <w:rPr>
              <w:rFonts w:asciiTheme="minorHAnsi" w:eastAsiaTheme="minorEastAsia" w:hAnsiTheme="minorHAnsi" w:cstheme="minorBidi"/>
              <w:b w:val="0"/>
              <w:bCs w:val="0"/>
              <w:noProof/>
            </w:rPr>
          </w:pPr>
          <w:hyperlink w:anchor="_Toc189121494" w:history="1">
            <w:r w:rsidRPr="000A5BE5">
              <w:rPr>
                <w:rStyle w:val="Collegamentoipertestuale"/>
                <w:rFonts w:eastAsiaTheme="majorEastAsia"/>
                <w:noProof/>
              </w:rPr>
              <w:t>3.4</w:t>
            </w:r>
            <w:r>
              <w:rPr>
                <w:rFonts w:asciiTheme="minorHAnsi" w:eastAsiaTheme="minorEastAsia" w:hAnsiTheme="minorHAnsi" w:cstheme="minorBidi"/>
                <w:b w:val="0"/>
                <w:bCs w:val="0"/>
                <w:noProof/>
              </w:rPr>
              <w:tab/>
            </w:r>
            <w:r w:rsidRPr="000A5BE5">
              <w:rPr>
                <w:rStyle w:val="Collegamentoipertestuale"/>
                <w:rFonts w:eastAsiaTheme="majorEastAsia"/>
                <w:noProof/>
              </w:rPr>
              <w:t>Misure in materia di conflitto di interessi</w:t>
            </w:r>
            <w:r>
              <w:rPr>
                <w:noProof/>
                <w:webHidden/>
              </w:rPr>
              <w:tab/>
            </w:r>
            <w:r>
              <w:rPr>
                <w:noProof/>
                <w:webHidden/>
              </w:rPr>
              <w:fldChar w:fldCharType="begin"/>
            </w:r>
            <w:r>
              <w:rPr>
                <w:noProof/>
                <w:webHidden/>
              </w:rPr>
              <w:instrText xml:space="preserve"> PAGEREF _Toc189121494 \h </w:instrText>
            </w:r>
            <w:r>
              <w:rPr>
                <w:noProof/>
                <w:webHidden/>
              </w:rPr>
            </w:r>
            <w:r>
              <w:rPr>
                <w:noProof/>
                <w:webHidden/>
              </w:rPr>
              <w:fldChar w:fldCharType="separate"/>
            </w:r>
            <w:r w:rsidR="00CE69EB">
              <w:rPr>
                <w:noProof/>
                <w:webHidden/>
              </w:rPr>
              <w:t>7</w:t>
            </w:r>
            <w:r>
              <w:rPr>
                <w:noProof/>
                <w:webHidden/>
              </w:rPr>
              <w:fldChar w:fldCharType="end"/>
            </w:r>
          </w:hyperlink>
        </w:p>
        <w:p w:rsidR="00181D89" w:rsidRDefault="00181D89">
          <w:pPr>
            <w:pStyle w:val="Sommario2"/>
            <w:tabs>
              <w:tab w:val="left" w:pos="960"/>
              <w:tab w:val="right" w:leader="dot" w:pos="9628"/>
            </w:tabs>
            <w:rPr>
              <w:rFonts w:asciiTheme="minorHAnsi" w:eastAsiaTheme="minorEastAsia" w:hAnsiTheme="minorHAnsi" w:cstheme="minorBidi"/>
              <w:b w:val="0"/>
              <w:bCs w:val="0"/>
              <w:noProof/>
            </w:rPr>
          </w:pPr>
          <w:hyperlink w:anchor="_Toc189121495" w:history="1">
            <w:r w:rsidRPr="000A5BE5">
              <w:rPr>
                <w:rStyle w:val="Collegamentoipertestuale"/>
                <w:rFonts w:eastAsiaTheme="majorEastAsia"/>
                <w:noProof/>
                <w:lang w:val="en-US"/>
              </w:rPr>
              <w:t>3.5</w:t>
            </w:r>
            <w:r>
              <w:rPr>
                <w:rFonts w:asciiTheme="minorHAnsi" w:eastAsiaTheme="minorEastAsia" w:hAnsiTheme="minorHAnsi" w:cstheme="minorBidi"/>
                <w:b w:val="0"/>
                <w:bCs w:val="0"/>
                <w:noProof/>
              </w:rPr>
              <w:tab/>
            </w:r>
            <w:r w:rsidRPr="000A5BE5">
              <w:rPr>
                <w:rStyle w:val="Collegamentoipertestuale"/>
                <w:rFonts w:eastAsiaTheme="majorEastAsia"/>
                <w:noProof/>
                <w:lang w:val="en-US"/>
              </w:rPr>
              <w:t>Whistleblowing</w:t>
            </w:r>
            <w:r>
              <w:rPr>
                <w:noProof/>
                <w:webHidden/>
              </w:rPr>
              <w:tab/>
            </w:r>
            <w:r>
              <w:rPr>
                <w:noProof/>
                <w:webHidden/>
              </w:rPr>
              <w:fldChar w:fldCharType="begin"/>
            </w:r>
            <w:r>
              <w:rPr>
                <w:noProof/>
                <w:webHidden/>
              </w:rPr>
              <w:instrText xml:space="preserve"> PAGEREF _Toc189121495 \h </w:instrText>
            </w:r>
            <w:r>
              <w:rPr>
                <w:noProof/>
                <w:webHidden/>
              </w:rPr>
            </w:r>
            <w:r>
              <w:rPr>
                <w:noProof/>
                <w:webHidden/>
              </w:rPr>
              <w:fldChar w:fldCharType="separate"/>
            </w:r>
            <w:r w:rsidR="00CE69EB">
              <w:rPr>
                <w:noProof/>
                <w:webHidden/>
              </w:rPr>
              <w:t>8</w:t>
            </w:r>
            <w:r>
              <w:rPr>
                <w:noProof/>
                <w:webHidden/>
              </w:rPr>
              <w:fldChar w:fldCharType="end"/>
            </w:r>
          </w:hyperlink>
        </w:p>
        <w:p w:rsidR="00181D89" w:rsidRDefault="00181D89">
          <w:pPr>
            <w:pStyle w:val="Sommario2"/>
            <w:tabs>
              <w:tab w:val="left" w:pos="960"/>
              <w:tab w:val="right" w:leader="dot" w:pos="9628"/>
            </w:tabs>
            <w:rPr>
              <w:rFonts w:asciiTheme="minorHAnsi" w:eastAsiaTheme="minorEastAsia" w:hAnsiTheme="minorHAnsi" w:cstheme="minorBidi"/>
              <w:b w:val="0"/>
              <w:bCs w:val="0"/>
              <w:noProof/>
            </w:rPr>
          </w:pPr>
          <w:hyperlink w:anchor="_Toc189121496" w:history="1">
            <w:r w:rsidRPr="000A5BE5">
              <w:rPr>
                <w:rStyle w:val="Collegamentoipertestuale"/>
                <w:rFonts w:eastAsiaTheme="majorEastAsia"/>
                <w:noProof/>
              </w:rPr>
              <w:t>3.6</w:t>
            </w:r>
            <w:r>
              <w:rPr>
                <w:rFonts w:asciiTheme="minorHAnsi" w:eastAsiaTheme="minorEastAsia" w:hAnsiTheme="minorHAnsi" w:cstheme="minorBidi"/>
                <w:b w:val="0"/>
                <w:bCs w:val="0"/>
                <w:noProof/>
              </w:rPr>
              <w:tab/>
            </w:r>
            <w:r w:rsidRPr="000A5BE5">
              <w:rPr>
                <w:rStyle w:val="Collegamentoipertestuale"/>
                <w:rFonts w:eastAsiaTheme="majorEastAsia"/>
                <w:noProof/>
              </w:rPr>
              <w:t>Formazione</w:t>
            </w:r>
            <w:r>
              <w:rPr>
                <w:noProof/>
                <w:webHidden/>
              </w:rPr>
              <w:tab/>
            </w:r>
            <w:r>
              <w:rPr>
                <w:noProof/>
                <w:webHidden/>
              </w:rPr>
              <w:fldChar w:fldCharType="begin"/>
            </w:r>
            <w:r>
              <w:rPr>
                <w:noProof/>
                <w:webHidden/>
              </w:rPr>
              <w:instrText xml:space="preserve"> PAGEREF _Toc189121496 \h </w:instrText>
            </w:r>
            <w:r>
              <w:rPr>
                <w:noProof/>
                <w:webHidden/>
              </w:rPr>
            </w:r>
            <w:r>
              <w:rPr>
                <w:noProof/>
                <w:webHidden/>
              </w:rPr>
              <w:fldChar w:fldCharType="separate"/>
            </w:r>
            <w:r w:rsidR="00CE69EB">
              <w:rPr>
                <w:noProof/>
                <w:webHidden/>
              </w:rPr>
              <w:t>8</w:t>
            </w:r>
            <w:r>
              <w:rPr>
                <w:noProof/>
                <w:webHidden/>
              </w:rPr>
              <w:fldChar w:fldCharType="end"/>
            </w:r>
          </w:hyperlink>
        </w:p>
        <w:p w:rsidR="00181D89" w:rsidRDefault="00181D89">
          <w:pPr>
            <w:pStyle w:val="Sommario2"/>
            <w:tabs>
              <w:tab w:val="left" w:pos="960"/>
              <w:tab w:val="right" w:leader="dot" w:pos="9628"/>
            </w:tabs>
            <w:rPr>
              <w:rFonts w:asciiTheme="minorHAnsi" w:eastAsiaTheme="minorEastAsia" w:hAnsiTheme="minorHAnsi" w:cstheme="minorBidi"/>
              <w:b w:val="0"/>
              <w:bCs w:val="0"/>
              <w:noProof/>
            </w:rPr>
          </w:pPr>
          <w:hyperlink w:anchor="_Toc189121497" w:history="1">
            <w:r w:rsidRPr="000A5BE5">
              <w:rPr>
                <w:rStyle w:val="Collegamentoipertestuale"/>
                <w:rFonts w:eastAsiaTheme="majorEastAsia"/>
                <w:noProof/>
              </w:rPr>
              <w:t>3.7</w:t>
            </w:r>
            <w:r>
              <w:rPr>
                <w:rFonts w:asciiTheme="minorHAnsi" w:eastAsiaTheme="minorEastAsia" w:hAnsiTheme="minorHAnsi" w:cstheme="minorBidi"/>
                <w:b w:val="0"/>
                <w:bCs w:val="0"/>
                <w:noProof/>
              </w:rPr>
              <w:tab/>
            </w:r>
            <w:r w:rsidRPr="000A5BE5">
              <w:rPr>
                <w:rStyle w:val="Collegamentoipertestuale"/>
                <w:rFonts w:eastAsiaTheme="majorEastAsia"/>
                <w:noProof/>
              </w:rPr>
              <w:t>Trasparenza</w:t>
            </w:r>
            <w:r>
              <w:rPr>
                <w:noProof/>
                <w:webHidden/>
              </w:rPr>
              <w:tab/>
            </w:r>
            <w:r>
              <w:rPr>
                <w:noProof/>
                <w:webHidden/>
              </w:rPr>
              <w:fldChar w:fldCharType="begin"/>
            </w:r>
            <w:r>
              <w:rPr>
                <w:noProof/>
                <w:webHidden/>
              </w:rPr>
              <w:instrText xml:space="preserve"> PAGEREF _Toc189121497 \h </w:instrText>
            </w:r>
            <w:r>
              <w:rPr>
                <w:noProof/>
                <w:webHidden/>
              </w:rPr>
            </w:r>
            <w:r>
              <w:rPr>
                <w:noProof/>
                <w:webHidden/>
              </w:rPr>
              <w:fldChar w:fldCharType="separate"/>
            </w:r>
            <w:r w:rsidR="00CE69EB">
              <w:rPr>
                <w:noProof/>
                <w:webHidden/>
              </w:rPr>
              <w:t>9</w:t>
            </w:r>
            <w:r>
              <w:rPr>
                <w:noProof/>
                <w:webHidden/>
              </w:rPr>
              <w:fldChar w:fldCharType="end"/>
            </w:r>
          </w:hyperlink>
        </w:p>
        <w:p w:rsidR="00181D89" w:rsidRDefault="00181D89">
          <w:pPr>
            <w:pStyle w:val="Sommario2"/>
            <w:tabs>
              <w:tab w:val="left" w:pos="960"/>
              <w:tab w:val="right" w:leader="dot" w:pos="9628"/>
            </w:tabs>
            <w:rPr>
              <w:rFonts w:asciiTheme="minorHAnsi" w:eastAsiaTheme="minorEastAsia" w:hAnsiTheme="minorHAnsi" w:cstheme="minorBidi"/>
              <w:b w:val="0"/>
              <w:bCs w:val="0"/>
              <w:noProof/>
            </w:rPr>
          </w:pPr>
          <w:hyperlink w:anchor="_Toc189121498" w:history="1">
            <w:r w:rsidRPr="000A5BE5">
              <w:rPr>
                <w:rStyle w:val="Collegamentoipertestuale"/>
                <w:rFonts w:eastAsiaTheme="majorEastAsia"/>
                <w:noProof/>
              </w:rPr>
              <w:t>3.8</w:t>
            </w:r>
            <w:r>
              <w:rPr>
                <w:rFonts w:asciiTheme="minorHAnsi" w:eastAsiaTheme="minorEastAsia" w:hAnsiTheme="minorHAnsi" w:cstheme="minorBidi"/>
                <w:b w:val="0"/>
                <w:bCs w:val="0"/>
                <w:noProof/>
              </w:rPr>
              <w:tab/>
            </w:r>
            <w:r w:rsidRPr="000A5BE5">
              <w:rPr>
                <w:rStyle w:val="Collegamentoipertestuale"/>
                <w:rFonts w:eastAsiaTheme="majorEastAsia"/>
                <w:noProof/>
              </w:rPr>
              <w:t>Pantouflage</w:t>
            </w:r>
            <w:r>
              <w:rPr>
                <w:noProof/>
                <w:webHidden/>
              </w:rPr>
              <w:tab/>
            </w:r>
            <w:r>
              <w:rPr>
                <w:noProof/>
                <w:webHidden/>
              </w:rPr>
              <w:fldChar w:fldCharType="begin"/>
            </w:r>
            <w:r>
              <w:rPr>
                <w:noProof/>
                <w:webHidden/>
              </w:rPr>
              <w:instrText xml:space="preserve"> PAGEREF _Toc189121498 \h </w:instrText>
            </w:r>
            <w:r>
              <w:rPr>
                <w:noProof/>
                <w:webHidden/>
              </w:rPr>
            </w:r>
            <w:r>
              <w:rPr>
                <w:noProof/>
                <w:webHidden/>
              </w:rPr>
              <w:fldChar w:fldCharType="separate"/>
            </w:r>
            <w:r w:rsidR="00CE69EB">
              <w:rPr>
                <w:noProof/>
                <w:webHidden/>
              </w:rPr>
              <w:t>10</w:t>
            </w:r>
            <w:r>
              <w:rPr>
                <w:noProof/>
                <w:webHidden/>
              </w:rPr>
              <w:fldChar w:fldCharType="end"/>
            </w:r>
          </w:hyperlink>
        </w:p>
        <w:p w:rsidR="00181D89" w:rsidRDefault="00181D89">
          <w:pPr>
            <w:pStyle w:val="Sommario2"/>
            <w:tabs>
              <w:tab w:val="left" w:pos="960"/>
              <w:tab w:val="right" w:leader="dot" w:pos="9628"/>
            </w:tabs>
            <w:rPr>
              <w:rFonts w:asciiTheme="minorHAnsi" w:eastAsiaTheme="minorEastAsia" w:hAnsiTheme="minorHAnsi" w:cstheme="minorBidi"/>
              <w:b w:val="0"/>
              <w:bCs w:val="0"/>
              <w:noProof/>
            </w:rPr>
          </w:pPr>
          <w:hyperlink w:anchor="_Toc189121499" w:history="1">
            <w:r w:rsidRPr="000A5BE5">
              <w:rPr>
                <w:rStyle w:val="Collegamentoipertestuale"/>
                <w:rFonts w:eastAsiaTheme="majorEastAsia"/>
                <w:noProof/>
              </w:rPr>
              <w:t>3.9</w:t>
            </w:r>
            <w:r>
              <w:rPr>
                <w:rFonts w:asciiTheme="minorHAnsi" w:eastAsiaTheme="minorEastAsia" w:hAnsiTheme="minorHAnsi" w:cstheme="minorBidi"/>
                <w:b w:val="0"/>
                <w:bCs w:val="0"/>
                <w:noProof/>
              </w:rPr>
              <w:tab/>
            </w:r>
            <w:r w:rsidRPr="000A5BE5">
              <w:rPr>
                <w:rStyle w:val="Collegamentoipertestuale"/>
                <w:rFonts w:eastAsiaTheme="majorEastAsia"/>
                <w:noProof/>
              </w:rPr>
              <w:t>Commissioni e conferimento incarichi in caso di condanna</w:t>
            </w:r>
            <w:r>
              <w:rPr>
                <w:noProof/>
                <w:webHidden/>
              </w:rPr>
              <w:tab/>
            </w:r>
            <w:r>
              <w:rPr>
                <w:noProof/>
                <w:webHidden/>
              </w:rPr>
              <w:fldChar w:fldCharType="begin"/>
            </w:r>
            <w:r>
              <w:rPr>
                <w:noProof/>
                <w:webHidden/>
              </w:rPr>
              <w:instrText xml:space="preserve"> PAGEREF _Toc189121499 \h </w:instrText>
            </w:r>
            <w:r>
              <w:rPr>
                <w:noProof/>
                <w:webHidden/>
              </w:rPr>
            </w:r>
            <w:r>
              <w:rPr>
                <w:noProof/>
                <w:webHidden/>
              </w:rPr>
              <w:fldChar w:fldCharType="separate"/>
            </w:r>
            <w:r w:rsidR="00CE69EB">
              <w:rPr>
                <w:noProof/>
                <w:webHidden/>
              </w:rPr>
              <w:t>11</w:t>
            </w:r>
            <w:r>
              <w:rPr>
                <w:noProof/>
                <w:webHidden/>
              </w:rPr>
              <w:fldChar w:fldCharType="end"/>
            </w:r>
          </w:hyperlink>
        </w:p>
        <w:p w:rsidR="00181D89" w:rsidRDefault="00181D89">
          <w:pPr>
            <w:pStyle w:val="Sommario2"/>
            <w:tabs>
              <w:tab w:val="left" w:pos="960"/>
              <w:tab w:val="right" w:leader="dot" w:pos="9628"/>
            </w:tabs>
            <w:rPr>
              <w:rFonts w:asciiTheme="minorHAnsi" w:eastAsiaTheme="minorEastAsia" w:hAnsiTheme="minorHAnsi" w:cstheme="minorBidi"/>
              <w:b w:val="0"/>
              <w:bCs w:val="0"/>
              <w:noProof/>
            </w:rPr>
          </w:pPr>
          <w:hyperlink w:anchor="_Toc189121500" w:history="1">
            <w:r w:rsidRPr="000A5BE5">
              <w:rPr>
                <w:rStyle w:val="Collegamentoipertestuale"/>
                <w:rFonts w:eastAsiaTheme="majorEastAsia"/>
                <w:noProof/>
              </w:rPr>
              <w:t>3.10</w:t>
            </w:r>
            <w:r>
              <w:rPr>
                <w:rFonts w:asciiTheme="minorHAnsi" w:eastAsiaTheme="minorEastAsia" w:hAnsiTheme="minorHAnsi" w:cstheme="minorBidi"/>
                <w:b w:val="0"/>
                <w:bCs w:val="0"/>
                <w:noProof/>
              </w:rPr>
              <w:tab/>
            </w:r>
            <w:r w:rsidRPr="000A5BE5">
              <w:rPr>
                <w:rStyle w:val="Collegamentoipertestuale"/>
                <w:rFonts w:eastAsiaTheme="majorEastAsia"/>
                <w:noProof/>
              </w:rPr>
              <w:t>Patti di integrità</w:t>
            </w:r>
            <w:r>
              <w:rPr>
                <w:noProof/>
                <w:webHidden/>
              </w:rPr>
              <w:tab/>
            </w:r>
            <w:r>
              <w:rPr>
                <w:noProof/>
                <w:webHidden/>
              </w:rPr>
              <w:fldChar w:fldCharType="begin"/>
            </w:r>
            <w:r>
              <w:rPr>
                <w:noProof/>
                <w:webHidden/>
              </w:rPr>
              <w:instrText xml:space="preserve"> PAGEREF _Toc189121500 \h </w:instrText>
            </w:r>
            <w:r>
              <w:rPr>
                <w:noProof/>
                <w:webHidden/>
              </w:rPr>
            </w:r>
            <w:r>
              <w:rPr>
                <w:noProof/>
                <w:webHidden/>
              </w:rPr>
              <w:fldChar w:fldCharType="separate"/>
            </w:r>
            <w:r w:rsidR="00CE69EB">
              <w:rPr>
                <w:noProof/>
                <w:webHidden/>
              </w:rPr>
              <w:t>11</w:t>
            </w:r>
            <w:r>
              <w:rPr>
                <w:noProof/>
                <w:webHidden/>
              </w:rPr>
              <w:fldChar w:fldCharType="end"/>
            </w:r>
          </w:hyperlink>
        </w:p>
        <w:p w:rsidR="00181D89" w:rsidRDefault="00181D89">
          <w:pPr>
            <w:pStyle w:val="Sommario2"/>
            <w:tabs>
              <w:tab w:val="left" w:pos="960"/>
              <w:tab w:val="right" w:leader="dot" w:pos="9628"/>
            </w:tabs>
            <w:rPr>
              <w:rFonts w:asciiTheme="minorHAnsi" w:eastAsiaTheme="minorEastAsia" w:hAnsiTheme="minorHAnsi" w:cstheme="minorBidi"/>
              <w:b w:val="0"/>
              <w:bCs w:val="0"/>
              <w:noProof/>
            </w:rPr>
          </w:pPr>
          <w:hyperlink w:anchor="_Toc189121501" w:history="1">
            <w:r w:rsidRPr="000A5BE5">
              <w:rPr>
                <w:rStyle w:val="Collegamentoipertestuale"/>
                <w:rFonts w:eastAsiaTheme="majorEastAsia"/>
                <w:noProof/>
              </w:rPr>
              <w:t>3.11</w:t>
            </w:r>
            <w:r>
              <w:rPr>
                <w:rFonts w:asciiTheme="minorHAnsi" w:eastAsiaTheme="minorEastAsia" w:hAnsiTheme="minorHAnsi" w:cstheme="minorBidi"/>
                <w:b w:val="0"/>
                <w:bCs w:val="0"/>
                <w:noProof/>
              </w:rPr>
              <w:tab/>
            </w:r>
            <w:r w:rsidRPr="000A5BE5">
              <w:rPr>
                <w:rStyle w:val="Collegamentoipertestuale"/>
                <w:rFonts w:eastAsiaTheme="majorEastAsia"/>
                <w:noProof/>
              </w:rPr>
              <w:t>Rapporti con i portatori di interessi particolari</w:t>
            </w:r>
            <w:r>
              <w:rPr>
                <w:noProof/>
                <w:webHidden/>
              </w:rPr>
              <w:tab/>
            </w:r>
            <w:r>
              <w:rPr>
                <w:noProof/>
                <w:webHidden/>
              </w:rPr>
              <w:fldChar w:fldCharType="begin"/>
            </w:r>
            <w:r>
              <w:rPr>
                <w:noProof/>
                <w:webHidden/>
              </w:rPr>
              <w:instrText xml:space="preserve"> PAGEREF _Toc189121501 \h </w:instrText>
            </w:r>
            <w:r>
              <w:rPr>
                <w:noProof/>
                <w:webHidden/>
              </w:rPr>
            </w:r>
            <w:r>
              <w:rPr>
                <w:noProof/>
                <w:webHidden/>
              </w:rPr>
              <w:fldChar w:fldCharType="separate"/>
            </w:r>
            <w:r w:rsidR="00CE69EB">
              <w:rPr>
                <w:noProof/>
                <w:webHidden/>
              </w:rPr>
              <w:t>11</w:t>
            </w:r>
            <w:r>
              <w:rPr>
                <w:noProof/>
                <w:webHidden/>
              </w:rPr>
              <w:fldChar w:fldCharType="end"/>
            </w:r>
          </w:hyperlink>
        </w:p>
        <w:p w:rsidR="00181D89" w:rsidRDefault="00181D89">
          <w:pPr>
            <w:pStyle w:val="Sommario2"/>
            <w:tabs>
              <w:tab w:val="left" w:pos="960"/>
              <w:tab w:val="right" w:leader="dot" w:pos="9628"/>
            </w:tabs>
            <w:rPr>
              <w:rFonts w:asciiTheme="minorHAnsi" w:eastAsiaTheme="minorEastAsia" w:hAnsiTheme="minorHAnsi" w:cstheme="minorBidi"/>
              <w:b w:val="0"/>
              <w:bCs w:val="0"/>
              <w:noProof/>
            </w:rPr>
          </w:pPr>
          <w:hyperlink w:anchor="_Toc189121502" w:history="1">
            <w:r w:rsidRPr="000A5BE5">
              <w:rPr>
                <w:rStyle w:val="Collegamentoipertestuale"/>
                <w:rFonts w:eastAsiaTheme="majorEastAsia"/>
                <w:noProof/>
              </w:rPr>
              <w:t>3.12</w:t>
            </w:r>
            <w:r>
              <w:rPr>
                <w:rFonts w:asciiTheme="minorHAnsi" w:eastAsiaTheme="minorEastAsia" w:hAnsiTheme="minorHAnsi" w:cstheme="minorBidi"/>
                <w:b w:val="0"/>
                <w:bCs w:val="0"/>
                <w:noProof/>
              </w:rPr>
              <w:tab/>
            </w:r>
            <w:r w:rsidRPr="000A5BE5">
              <w:rPr>
                <w:rStyle w:val="Collegamentoipertestuale"/>
                <w:rFonts w:eastAsiaTheme="majorEastAsia"/>
                <w:noProof/>
              </w:rPr>
              <w:t>Considerazioni conclusive sull’attuazione delle misure generali</w:t>
            </w:r>
            <w:r>
              <w:rPr>
                <w:noProof/>
                <w:webHidden/>
              </w:rPr>
              <w:tab/>
            </w:r>
            <w:r>
              <w:rPr>
                <w:noProof/>
                <w:webHidden/>
              </w:rPr>
              <w:fldChar w:fldCharType="begin"/>
            </w:r>
            <w:r>
              <w:rPr>
                <w:noProof/>
                <w:webHidden/>
              </w:rPr>
              <w:instrText xml:space="preserve"> PAGEREF _Toc189121502 \h </w:instrText>
            </w:r>
            <w:r>
              <w:rPr>
                <w:noProof/>
                <w:webHidden/>
              </w:rPr>
            </w:r>
            <w:r>
              <w:rPr>
                <w:noProof/>
                <w:webHidden/>
              </w:rPr>
              <w:fldChar w:fldCharType="separate"/>
            </w:r>
            <w:r w:rsidR="00CE69EB">
              <w:rPr>
                <w:noProof/>
                <w:webHidden/>
              </w:rPr>
              <w:t>12</w:t>
            </w:r>
            <w:r>
              <w:rPr>
                <w:noProof/>
                <w:webHidden/>
              </w:rPr>
              <w:fldChar w:fldCharType="end"/>
            </w:r>
          </w:hyperlink>
        </w:p>
        <w:p w:rsidR="00181D89" w:rsidRDefault="00181D89">
          <w:pPr>
            <w:pStyle w:val="Sommario1"/>
            <w:tabs>
              <w:tab w:val="left" w:pos="1680"/>
              <w:tab w:val="right" w:leader="dot" w:pos="9628"/>
            </w:tabs>
            <w:rPr>
              <w:rFonts w:asciiTheme="minorHAnsi" w:eastAsiaTheme="minorEastAsia" w:hAnsiTheme="minorHAnsi" w:cstheme="minorBidi"/>
              <w:b w:val="0"/>
              <w:bCs w:val="0"/>
              <w:i w:val="0"/>
              <w:iCs w:val="0"/>
              <w:noProof/>
              <w:sz w:val="22"/>
              <w:szCs w:val="22"/>
              <w:lang w:eastAsia="it-IT"/>
            </w:rPr>
          </w:pPr>
          <w:hyperlink w:anchor="_Toc189121503" w:history="1">
            <w:r w:rsidRPr="000A5BE5">
              <w:rPr>
                <w:rStyle w:val="Collegamentoipertestuale"/>
                <w:noProof/>
              </w:rPr>
              <w:t>SEZIONE 4</w:t>
            </w:r>
            <w:r>
              <w:rPr>
                <w:rFonts w:asciiTheme="minorHAnsi" w:eastAsiaTheme="minorEastAsia" w:hAnsiTheme="minorHAnsi" w:cstheme="minorBidi"/>
                <w:b w:val="0"/>
                <w:bCs w:val="0"/>
                <w:i w:val="0"/>
                <w:iCs w:val="0"/>
                <w:noProof/>
                <w:sz w:val="22"/>
                <w:szCs w:val="22"/>
                <w:lang w:eastAsia="it-IT"/>
              </w:rPr>
              <w:tab/>
            </w:r>
            <w:r w:rsidRPr="000A5BE5">
              <w:rPr>
                <w:rStyle w:val="Collegamentoipertestuale"/>
                <w:noProof/>
              </w:rPr>
              <w:t>RENDICONTAZIONE MISURE SPECIFICHE</w:t>
            </w:r>
            <w:r>
              <w:rPr>
                <w:noProof/>
                <w:webHidden/>
              </w:rPr>
              <w:tab/>
            </w:r>
            <w:r>
              <w:rPr>
                <w:noProof/>
                <w:webHidden/>
              </w:rPr>
              <w:fldChar w:fldCharType="begin"/>
            </w:r>
            <w:r>
              <w:rPr>
                <w:noProof/>
                <w:webHidden/>
              </w:rPr>
              <w:instrText xml:space="preserve"> PAGEREF _Toc189121503 \h </w:instrText>
            </w:r>
            <w:r>
              <w:rPr>
                <w:noProof/>
                <w:webHidden/>
              </w:rPr>
            </w:r>
            <w:r>
              <w:rPr>
                <w:noProof/>
                <w:webHidden/>
              </w:rPr>
              <w:fldChar w:fldCharType="separate"/>
            </w:r>
            <w:r w:rsidR="00CE69EB">
              <w:rPr>
                <w:noProof/>
                <w:webHidden/>
              </w:rPr>
              <w:t>12</w:t>
            </w:r>
            <w:r>
              <w:rPr>
                <w:noProof/>
                <w:webHidden/>
              </w:rPr>
              <w:fldChar w:fldCharType="end"/>
            </w:r>
          </w:hyperlink>
        </w:p>
        <w:p w:rsidR="00181D89" w:rsidRDefault="00181D89">
          <w:pPr>
            <w:pStyle w:val="Sommario2"/>
            <w:tabs>
              <w:tab w:val="left" w:pos="960"/>
              <w:tab w:val="right" w:leader="dot" w:pos="9628"/>
            </w:tabs>
            <w:rPr>
              <w:rFonts w:asciiTheme="minorHAnsi" w:eastAsiaTheme="minorEastAsia" w:hAnsiTheme="minorHAnsi" w:cstheme="minorBidi"/>
              <w:b w:val="0"/>
              <w:bCs w:val="0"/>
              <w:noProof/>
            </w:rPr>
          </w:pPr>
          <w:hyperlink w:anchor="_Toc189121504" w:history="1">
            <w:r w:rsidRPr="000A5BE5">
              <w:rPr>
                <w:rStyle w:val="Collegamentoipertestuale"/>
                <w:rFonts w:eastAsiaTheme="majorEastAsia"/>
                <w:noProof/>
              </w:rPr>
              <w:t>4.1</w:t>
            </w:r>
            <w:r>
              <w:rPr>
                <w:rFonts w:asciiTheme="minorHAnsi" w:eastAsiaTheme="minorEastAsia" w:hAnsiTheme="minorHAnsi" w:cstheme="minorBidi"/>
                <w:b w:val="0"/>
                <w:bCs w:val="0"/>
                <w:noProof/>
              </w:rPr>
              <w:tab/>
            </w:r>
            <w:r w:rsidRPr="000A5BE5">
              <w:rPr>
                <w:rStyle w:val="Collegamentoipertestuale"/>
                <w:rFonts w:eastAsiaTheme="majorEastAsia"/>
                <w:noProof/>
              </w:rPr>
              <w:t>Quadro di sintesi dell’attuazione delle misure specifiche</w:t>
            </w:r>
            <w:r>
              <w:rPr>
                <w:noProof/>
                <w:webHidden/>
              </w:rPr>
              <w:tab/>
            </w:r>
            <w:r>
              <w:rPr>
                <w:noProof/>
                <w:webHidden/>
              </w:rPr>
              <w:fldChar w:fldCharType="begin"/>
            </w:r>
            <w:r>
              <w:rPr>
                <w:noProof/>
                <w:webHidden/>
              </w:rPr>
              <w:instrText xml:space="preserve"> PAGEREF _Toc189121504 \h </w:instrText>
            </w:r>
            <w:r>
              <w:rPr>
                <w:noProof/>
                <w:webHidden/>
              </w:rPr>
            </w:r>
            <w:r>
              <w:rPr>
                <w:noProof/>
                <w:webHidden/>
              </w:rPr>
              <w:fldChar w:fldCharType="separate"/>
            </w:r>
            <w:r w:rsidR="00CE69EB">
              <w:rPr>
                <w:noProof/>
                <w:webHidden/>
              </w:rPr>
              <w:t>12</w:t>
            </w:r>
            <w:r>
              <w:rPr>
                <w:noProof/>
                <w:webHidden/>
              </w:rPr>
              <w:fldChar w:fldCharType="end"/>
            </w:r>
          </w:hyperlink>
        </w:p>
        <w:p w:rsidR="00181D89" w:rsidRDefault="00181D89">
          <w:pPr>
            <w:pStyle w:val="Sommario1"/>
            <w:tabs>
              <w:tab w:val="left" w:pos="1680"/>
              <w:tab w:val="right" w:leader="dot" w:pos="9628"/>
            </w:tabs>
            <w:rPr>
              <w:rFonts w:asciiTheme="minorHAnsi" w:eastAsiaTheme="minorEastAsia" w:hAnsiTheme="minorHAnsi" w:cstheme="minorBidi"/>
              <w:b w:val="0"/>
              <w:bCs w:val="0"/>
              <w:i w:val="0"/>
              <w:iCs w:val="0"/>
              <w:noProof/>
              <w:sz w:val="22"/>
              <w:szCs w:val="22"/>
              <w:lang w:eastAsia="it-IT"/>
            </w:rPr>
          </w:pPr>
          <w:hyperlink w:anchor="_Toc189121505" w:history="1">
            <w:r w:rsidRPr="000A5BE5">
              <w:rPr>
                <w:rStyle w:val="Collegamentoipertestuale"/>
                <w:noProof/>
              </w:rPr>
              <w:t>SEZIONE 5</w:t>
            </w:r>
            <w:r>
              <w:rPr>
                <w:rFonts w:asciiTheme="minorHAnsi" w:eastAsiaTheme="minorEastAsia" w:hAnsiTheme="minorHAnsi" w:cstheme="minorBidi"/>
                <w:b w:val="0"/>
                <w:bCs w:val="0"/>
                <w:i w:val="0"/>
                <w:iCs w:val="0"/>
                <w:noProof/>
                <w:sz w:val="22"/>
                <w:szCs w:val="22"/>
                <w:lang w:eastAsia="it-IT"/>
              </w:rPr>
              <w:tab/>
            </w:r>
            <w:r w:rsidRPr="000A5BE5">
              <w:rPr>
                <w:rStyle w:val="Collegamentoipertestuale"/>
                <w:noProof/>
              </w:rPr>
              <w:t>MONITORAGGIO GESTIONE DEL RISCHIO</w:t>
            </w:r>
            <w:r>
              <w:rPr>
                <w:noProof/>
                <w:webHidden/>
              </w:rPr>
              <w:tab/>
            </w:r>
            <w:r>
              <w:rPr>
                <w:noProof/>
                <w:webHidden/>
              </w:rPr>
              <w:fldChar w:fldCharType="begin"/>
            </w:r>
            <w:r>
              <w:rPr>
                <w:noProof/>
                <w:webHidden/>
              </w:rPr>
              <w:instrText xml:space="preserve"> PAGEREF _Toc189121505 \h </w:instrText>
            </w:r>
            <w:r>
              <w:rPr>
                <w:noProof/>
                <w:webHidden/>
              </w:rPr>
            </w:r>
            <w:r>
              <w:rPr>
                <w:noProof/>
                <w:webHidden/>
              </w:rPr>
              <w:fldChar w:fldCharType="separate"/>
            </w:r>
            <w:r w:rsidR="00CE69EB">
              <w:rPr>
                <w:noProof/>
                <w:webHidden/>
              </w:rPr>
              <w:t>12</w:t>
            </w:r>
            <w:r>
              <w:rPr>
                <w:noProof/>
                <w:webHidden/>
              </w:rPr>
              <w:fldChar w:fldCharType="end"/>
            </w:r>
          </w:hyperlink>
        </w:p>
        <w:p w:rsidR="00181D89" w:rsidRDefault="00181D89">
          <w:pPr>
            <w:pStyle w:val="Sommario1"/>
            <w:tabs>
              <w:tab w:val="left" w:pos="1680"/>
              <w:tab w:val="right" w:leader="dot" w:pos="9628"/>
            </w:tabs>
            <w:rPr>
              <w:rFonts w:asciiTheme="minorHAnsi" w:eastAsiaTheme="minorEastAsia" w:hAnsiTheme="minorHAnsi" w:cstheme="minorBidi"/>
              <w:b w:val="0"/>
              <w:bCs w:val="0"/>
              <w:i w:val="0"/>
              <w:iCs w:val="0"/>
              <w:noProof/>
              <w:sz w:val="22"/>
              <w:szCs w:val="22"/>
              <w:lang w:eastAsia="it-IT"/>
            </w:rPr>
          </w:pPr>
          <w:hyperlink w:anchor="_Toc189121506" w:history="1">
            <w:r w:rsidRPr="000A5BE5">
              <w:rPr>
                <w:rStyle w:val="Collegamentoipertestuale"/>
                <w:noProof/>
              </w:rPr>
              <w:t>SEZIONE 6</w:t>
            </w:r>
            <w:r>
              <w:rPr>
                <w:rFonts w:asciiTheme="minorHAnsi" w:eastAsiaTheme="minorEastAsia" w:hAnsiTheme="minorHAnsi" w:cstheme="minorBidi"/>
                <w:b w:val="0"/>
                <w:bCs w:val="0"/>
                <w:i w:val="0"/>
                <w:iCs w:val="0"/>
                <w:noProof/>
                <w:sz w:val="22"/>
                <w:szCs w:val="22"/>
                <w:lang w:eastAsia="it-IT"/>
              </w:rPr>
              <w:tab/>
            </w:r>
            <w:r w:rsidRPr="000A5BE5">
              <w:rPr>
                <w:rStyle w:val="Collegamentoipertestuale"/>
                <w:noProof/>
              </w:rPr>
              <w:t>MONITORAGGIO PROCEDIMENTI PENALI</w:t>
            </w:r>
            <w:r>
              <w:rPr>
                <w:noProof/>
                <w:webHidden/>
              </w:rPr>
              <w:tab/>
            </w:r>
            <w:r>
              <w:rPr>
                <w:noProof/>
                <w:webHidden/>
              </w:rPr>
              <w:fldChar w:fldCharType="begin"/>
            </w:r>
            <w:r>
              <w:rPr>
                <w:noProof/>
                <w:webHidden/>
              </w:rPr>
              <w:instrText xml:space="preserve"> PAGEREF _Toc189121506 \h </w:instrText>
            </w:r>
            <w:r>
              <w:rPr>
                <w:noProof/>
                <w:webHidden/>
              </w:rPr>
            </w:r>
            <w:r>
              <w:rPr>
                <w:noProof/>
                <w:webHidden/>
              </w:rPr>
              <w:fldChar w:fldCharType="separate"/>
            </w:r>
            <w:r w:rsidR="00CE69EB">
              <w:rPr>
                <w:noProof/>
                <w:webHidden/>
              </w:rPr>
              <w:t>13</w:t>
            </w:r>
            <w:r>
              <w:rPr>
                <w:noProof/>
                <w:webHidden/>
              </w:rPr>
              <w:fldChar w:fldCharType="end"/>
            </w:r>
          </w:hyperlink>
        </w:p>
        <w:p w:rsidR="00181D89" w:rsidRDefault="00181D89">
          <w:pPr>
            <w:pStyle w:val="Sommario1"/>
            <w:tabs>
              <w:tab w:val="left" w:pos="1680"/>
              <w:tab w:val="right" w:leader="dot" w:pos="9628"/>
            </w:tabs>
            <w:rPr>
              <w:rFonts w:asciiTheme="minorHAnsi" w:eastAsiaTheme="minorEastAsia" w:hAnsiTheme="minorHAnsi" w:cstheme="minorBidi"/>
              <w:b w:val="0"/>
              <w:bCs w:val="0"/>
              <w:i w:val="0"/>
              <w:iCs w:val="0"/>
              <w:noProof/>
              <w:sz w:val="22"/>
              <w:szCs w:val="22"/>
              <w:lang w:eastAsia="it-IT"/>
            </w:rPr>
          </w:pPr>
          <w:hyperlink w:anchor="_Toc189121507" w:history="1">
            <w:r w:rsidRPr="000A5BE5">
              <w:rPr>
                <w:rStyle w:val="Collegamentoipertestuale"/>
                <w:noProof/>
              </w:rPr>
              <w:t>SEZIONE 7</w:t>
            </w:r>
            <w:r>
              <w:rPr>
                <w:rFonts w:asciiTheme="minorHAnsi" w:eastAsiaTheme="minorEastAsia" w:hAnsiTheme="minorHAnsi" w:cstheme="minorBidi"/>
                <w:b w:val="0"/>
                <w:bCs w:val="0"/>
                <w:i w:val="0"/>
                <w:iCs w:val="0"/>
                <w:noProof/>
                <w:sz w:val="22"/>
                <w:szCs w:val="22"/>
                <w:lang w:eastAsia="it-IT"/>
              </w:rPr>
              <w:tab/>
            </w:r>
            <w:r w:rsidRPr="000A5BE5">
              <w:rPr>
                <w:rStyle w:val="Collegamentoipertestuale"/>
                <w:noProof/>
              </w:rPr>
              <w:t>MONITORAGGIO PROCEDIMENTI DISCIPLINARI</w:t>
            </w:r>
            <w:r>
              <w:rPr>
                <w:noProof/>
                <w:webHidden/>
              </w:rPr>
              <w:tab/>
            </w:r>
            <w:r>
              <w:rPr>
                <w:noProof/>
                <w:webHidden/>
              </w:rPr>
              <w:fldChar w:fldCharType="begin"/>
            </w:r>
            <w:r>
              <w:rPr>
                <w:noProof/>
                <w:webHidden/>
              </w:rPr>
              <w:instrText xml:space="preserve"> PAGEREF _Toc189121507 \h </w:instrText>
            </w:r>
            <w:r>
              <w:rPr>
                <w:noProof/>
                <w:webHidden/>
              </w:rPr>
            </w:r>
            <w:r>
              <w:rPr>
                <w:noProof/>
                <w:webHidden/>
              </w:rPr>
              <w:fldChar w:fldCharType="separate"/>
            </w:r>
            <w:r w:rsidR="00CE69EB">
              <w:rPr>
                <w:noProof/>
                <w:webHidden/>
              </w:rPr>
              <w:t>14</w:t>
            </w:r>
            <w:r>
              <w:rPr>
                <w:noProof/>
                <w:webHidden/>
              </w:rPr>
              <w:fldChar w:fldCharType="end"/>
            </w:r>
          </w:hyperlink>
        </w:p>
        <w:p w:rsidR="00181D89" w:rsidRDefault="00181D89">
          <w:pPr>
            <w:pStyle w:val="Sommario1"/>
            <w:tabs>
              <w:tab w:val="left" w:pos="1680"/>
              <w:tab w:val="right" w:leader="dot" w:pos="9628"/>
            </w:tabs>
            <w:rPr>
              <w:rFonts w:asciiTheme="minorHAnsi" w:eastAsiaTheme="minorEastAsia" w:hAnsiTheme="minorHAnsi" w:cstheme="minorBidi"/>
              <w:b w:val="0"/>
              <w:bCs w:val="0"/>
              <w:i w:val="0"/>
              <w:iCs w:val="0"/>
              <w:noProof/>
              <w:sz w:val="22"/>
              <w:szCs w:val="22"/>
              <w:lang w:eastAsia="it-IT"/>
            </w:rPr>
          </w:pPr>
          <w:hyperlink w:anchor="_Toc189121508" w:history="1">
            <w:r w:rsidRPr="000A5BE5">
              <w:rPr>
                <w:rStyle w:val="Collegamentoipertestuale"/>
                <w:noProof/>
              </w:rPr>
              <w:t>SEZIONE 8</w:t>
            </w:r>
            <w:r>
              <w:rPr>
                <w:rFonts w:asciiTheme="minorHAnsi" w:eastAsiaTheme="minorEastAsia" w:hAnsiTheme="minorHAnsi" w:cstheme="minorBidi"/>
                <w:b w:val="0"/>
                <w:bCs w:val="0"/>
                <w:i w:val="0"/>
                <w:iCs w:val="0"/>
                <w:noProof/>
                <w:sz w:val="22"/>
                <w:szCs w:val="22"/>
                <w:lang w:eastAsia="it-IT"/>
              </w:rPr>
              <w:tab/>
            </w:r>
            <w:r w:rsidRPr="000A5BE5">
              <w:rPr>
                <w:rStyle w:val="Collegamentoipertestuale"/>
                <w:noProof/>
              </w:rPr>
              <w:t>CONSIDERAZIONI GENERALI</w:t>
            </w:r>
            <w:r>
              <w:rPr>
                <w:noProof/>
                <w:webHidden/>
              </w:rPr>
              <w:tab/>
            </w:r>
            <w:r>
              <w:rPr>
                <w:noProof/>
                <w:webHidden/>
              </w:rPr>
              <w:fldChar w:fldCharType="begin"/>
            </w:r>
            <w:r>
              <w:rPr>
                <w:noProof/>
                <w:webHidden/>
              </w:rPr>
              <w:instrText xml:space="preserve"> PAGEREF _Toc189121508 \h </w:instrText>
            </w:r>
            <w:r>
              <w:rPr>
                <w:noProof/>
                <w:webHidden/>
              </w:rPr>
            </w:r>
            <w:r>
              <w:rPr>
                <w:noProof/>
                <w:webHidden/>
              </w:rPr>
              <w:fldChar w:fldCharType="separate"/>
            </w:r>
            <w:r w:rsidR="00CE69EB">
              <w:rPr>
                <w:noProof/>
                <w:webHidden/>
              </w:rPr>
              <w:t>14</w:t>
            </w:r>
            <w:r>
              <w:rPr>
                <w:noProof/>
                <w:webHidden/>
              </w:rPr>
              <w:fldChar w:fldCharType="end"/>
            </w:r>
          </w:hyperlink>
        </w:p>
        <w:p w:rsidR="00181D89" w:rsidRDefault="00181D89">
          <w:pPr>
            <w:pStyle w:val="Sommario1"/>
            <w:tabs>
              <w:tab w:val="left" w:pos="1680"/>
              <w:tab w:val="right" w:leader="dot" w:pos="9628"/>
            </w:tabs>
            <w:rPr>
              <w:rFonts w:asciiTheme="minorHAnsi" w:eastAsiaTheme="minorEastAsia" w:hAnsiTheme="minorHAnsi" w:cstheme="minorBidi"/>
              <w:b w:val="0"/>
              <w:bCs w:val="0"/>
              <w:i w:val="0"/>
              <w:iCs w:val="0"/>
              <w:noProof/>
              <w:sz w:val="22"/>
              <w:szCs w:val="22"/>
              <w:lang w:eastAsia="it-IT"/>
            </w:rPr>
          </w:pPr>
          <w:hyperlink w:anchor="_Toc189121509" w:history="1">
            <w:r w:rsidRPr="000A5BE5">
              <w:rPr>
                <w:rStyle w:val="Collegamentoipertestuale"/>
                <w:noProof/>
              </w:rPr>
              <w:t>SEZIONE 9</w:t>
            </w:r>
            <w:r>
              <w:rPr>
                <w:rFonts w:asciiTheme="minorHAnsi" w:eastAsiaTheme="minorEastAsia" w:hAnsiTheme="minorHAnsi" w:cstheme="minorBidi"/>
                <w:b w:val="0"/>
                <w:bCs w:val="0"/>
                <w:i w:val="0"/>
                <w:iCs w:val="0"/>
                <w:noProof/>
                <w:sz w:val="22"/>
                <w:szCs w:val="22"/>
                <w:lang w:eastAsia="it-IT"/>
              </w:rPr>
              <w:tab/>
            </w:r>
            <w:r w:rsidRPr="000A5BE5">
              <w:rPr>
                <w:rStyle w:val="Collegamentoipertestuale"/>
                <w:noProof/>
              </w:rPr>
              <w:t>MONITORAGGIO MISURE SPECIFICHE</w:t>
            </w:r>
            <w:r>
              <w:rPr>
                <w:noProof/>
                <w:webHidden/>
              </w:rPr>
              <w:tab/>
            </w:r>
            <w:r>
              <w:rPr>
                <w:noProof/>
                <w:webHidden/>
              </w:rPr>
              <w:fldChar w:fldCharType="begin"/>
            </w:r>
            <w:r>
              <w:rPr>
                <w:noProof/>
                <w:webHidden/>
              </w:rPr>
              <w:instrText xml:space="preserve"> PAGEREF _Toc189121509 \h </w:instrText>
            </w:r>
            <w:r>
              <w:rPr>
                <w:noProof/>
                <w:webHidden/>
              </w:rPr>
            </w:r>
            <w:r>
              <w:rPr>
                <w:noProof/>
                <w:webHidden/>
              </w:rPr>
              <w:fldChar w:fldCharType="separate"/>
            </w:r>
            <w:r w:rsidR="00CE69EB">
              <w:rPr>
                <w:noProof/>
                <w:webHidden/>
              </w:rPr>
              <w:t>15</w:t>
            </w:r>
            <w:r>
              <w:rPr>
                <w:noProof/>
                <w:webHidden/>
              </w:rPr>
              <w:fldChar w:fldCharType="end"/>
            </w:r>
          </w:hyperlink>
        </w:p>
        <w:p w:rsidR="00181D89" w:rsidRDefault="00181D89">
          <w:pPr>
            <w:pStyle w:val="Sommario2"/>
            <w:tabs>
              <w:tab w:val="left" w:pos="960"/>
              <w:tab w:val="right" w:leader="dot" w:pos="9628"/>
            </w:tabs>
            <w:rPr>
              <w:rFonts w:asciiTheme="minorHAnsi" w:eastAsiaTheme="minorEastAsia" w:hAnsiTheme="minorHAnsi" w:cstheme="minorBidi"/>
              <w:b w:val="0"/>
              <w:bCs w:val="0"/>
              <w:noProof/>
            </w:rPr>
          </w:pPr>
          <w:hyperlink w:anchor="_Toc189121510" w:history="1">
            <w:r w:rsidRPr="000A5BE5">
              <w:rPr>
                <w:rStyle w:val="Collegamentoipertestuale"/>
                <w:rFonts w:eastAsiaTheme="majorEastAsia"/>
                <w:noProof/>
              </w:rPr>
              <w:t>9.1</w:t>
            </w:r>
            <w:r>
              <w:rPr>
                <w:rFonts w:asciiTheme="minorHAnsi" w:eastAsiaTheme="minorEastAsia" w:hAnsiTheme="minorHAnsi" w:cstheme="minorBidi"/>
                <w:b w:val="0"/>
                <w:bCs w:val="0"/>
                <w:noProof/>
              </w:rPr>
              <w:tab/>
            </w:r>
            <w:r w:rsidRPr="000A5BE5">
              <w:rPr>
                <w:rStyle w:val="Collegamentoipertestuale"/>
                <w:rFonts w:eastAsiaTheme="majorEastAsia"/>
                <w:noProof/>
              </w:rPr>
              <w:t>Misure specifiche di controllo</w:t>
            </w:r>
            <w:r>
              <w:rPr>
                <w:noProof/>
                <w:webHidden/>
              </w:rPr>
              <w:tab/>
            </w:r>
            <w:r>
              <w:rPr>
                <w:noProof/>
                <w:webHidden/>
              </w:rPr>
              <w:fldChar w:fldCharType="begin"/>
            </w:r>
            <w:r>
              <w:rPr>
                <w:noProof/>
                <w:webHidden/>
              </w:rPr>
              <w:instrText xml:space="preserve"> PAGEREF _Toc189121510 \h </w:instrText>
            </w:r>
            <w:r>
              <w:rPr>
                <w:noProof/>
                <w:webHidden/>
              </w:rPr>
            </w:r>
            <w:r>
              <w:rPr>
                <w:noProof/>
                <w:webHidden/>
              </w:rPr>
              <w:fldChar w:fldCharType="separate"/>
            </w:r>
            <w:r w:rsidR="00CE69EB">
              <w:rPr>
                <w:noProof/>
                <w:webHidden/>
              </w:rPr>
              <w:t>15</w:t>
            </w:r>
            <w:r>
              <w:rPr>
                <w:noProof/>
                <w:webHidden/>
              </w:rPr>
              <w:fldChar w:fldCharType="end"/>
            </w:r>
          </w:hyperlink>
        </w:p>
        <w:p w:rsidR="00181D89" w:rsidRDefault="00181D89">
          <w:pPr>
            <w:pStyle w:val="Sommario2"/>
            <w:tabs>
              <w:tab w:val="left" w:pos="960"/>
              <w:tab w:val="right" w:leader="dot" w:pos="9628"/>
            </w:tabs>
            <w:rPr>
              <w:rFonts w:asciiTheme="minorHAnsi" w:eastAsiaTheme="minorEastAsia" w:hAnsiTheme="minorHAnsi" w:cstheme="minorBidi"/>
              <w:b w:val="0"/>
              <w:bCs w:val="0"/>
              <w:noProof/>
            </w:rPr>
          </w:pPr>
          <w:hyperlink w:anchor="_Toc189121511" w:history="1">
            <w:r w:rsidRPr="000A5BE5">
              <w:rPr>
                <w:rStyle w:val="Collegamentoipertestuale"/>
                <w:rFonts w:eastAsiaTheme="majorEastAsia"/>
                <w:noProof/>
              </w:rPr>
              <w:t>9.2</w:t>
            </w:r>
            <w:r>
              <w:rPr>
                <w:rFonts w:asciiTheme="minorHAnsi" w:eastAsiaTheme="minorEastAsia" w:hAnsiTheme="minorHAnsi" w:cstheme="minorBidi"/>
                <w:b w:val="0"/>
                <w:bCs w:val="0"/>
                <w:noProof/>
              </w:rPr>
              <w:tab/>
            </w:r>
            <w:r w:rsidRPr="000A5BE5">
              <w:rPr>
                <w:rStyle w:val="Collegamentoipertestuale"/>
                <w:rFonts w:eastAsiaTheme="majorEastAsia"/>
                <w:noProof/>
              </w:rPr>
              <w:t>Misure specifiche di trasparenza</w:t>
            </w:r>
            <w:r>
              <w:rPr>
                <w:noProof/>
                <w:webHidden/>
              </w:rPr>
              <w:tab/>
            </w:r>
            <w:r>
              <w:rPr>
                <w:noProof/>
                <w:webHidden/>
              </w:rPr>
              <w:fldChar w:fldCharType="begin"/>
            </w:r>
            <w:r>
              <w:rPr>
                <w:noProof/>
                <w:webHidden/>
              </w:rPr>
              <w:instrText xml:space="preserve"> PAGEREF _Toc189121511 \h </w:instrText>
            </w:r>
            <w:r>
              <w:rPr>
                <w:noProof/>
                <w:webHidden/>
              </w:rPr>
            </w:r>
            <w:r>
              <w:rPr>
                <w:noProof/>
                <w:webHidden/>
              </w:rPr>
              <w:fldChar w:fldCharType="separate"/>
            </w:r>
            <w:r w:rsidR="00CE69EB">
              <w:rPr>
                <w:noProof/>
                <w:webHidden/>
              </w:rPr>
              <w:t>19</w:t>
            </w:r>
            <w:r>
              <w:rPr>
                <w:noProof/>
                <w:webHidden/>
              </w:rPr>
              <w:fldChar w:fldCharType="end"/>
            </w:r>
          </w:hyperlink>
        </w:p>
        <w:p w:rsidR="00181D89" w:rsidRDefault="00181D89">
          <w:pPr>
            <w:pStyle w:val="Sommario2"/>
            <w:tabs>
              <w:tab w:val="left" w:pos="960"/>
              <w:tab w:val="right" w:leader="dot" w:pos="9628"/>
            </w:tabs>
            <w:rPr>
              <w:rFonts w:asciiTheme="minorHAnsi" w:eastAsiaTheme="minorEastAsia" w:hAnsiTheme="minorHAnsi" w:cstheme="minorBidi"/>
              <w:b w:val="0"/>
              <w:bCs w:val="0"/>
              <w:noProof/>
            </w:rPr>
          </w:pPr>
          <w:hyperlink w:anchor="_Toc189121512" w:history="1">
            <w:r w:rsidRPr="000A5BE5">
              <w:rPr>
                <w:rStyle w:val="Collegamentoipertestuale"/>
                <w:rFonts w:eastAsiaTheme="majorEastAsia"/>
                <w:noProof/>
              </w:rPr>
              <w:t>9.3</w:t>
            </w:r>
            <w:r>
              <w:rPr>
                <w:rFonts w:asciiTheme="minorHAnsi" w:eastAsiaTheme="minorEastAsia" w:hAnsiTheme="minorHAnsi" w:cstheme="minorBidi"/>
                <w:b w:val="0"/>
                <w:bCs w:val="0"/>
                <w:noProof/>
              </w:rPr>
              <w:tab/>
            </w:r>
            <w:r w:rsidRPr="000A5BE5">
              <w:rPr>
                <w:rStyle w:val="Collegamentoipertestuale"/>
                <w:rFonts w:eastAsiaTheme="majorEastAsia"/>
                <w:noProof/>
              </w:rPr>
              <w:t>Misure specifiche di definizione e promozione dell’etica e di standard di comportamento</w:t>
            </w:r>
            <w:r>
              <w:rPr>
                <w:noProof/>
                <w:webHidden/>
              </w:rPr>
              <w:tab/>
            </w:r>
            <w:r>
              <w:rPr>
                <w:noProof/>
                <w:webHidden/>
              </w:rPr>
              <w:fldChar w:fldCharType="begin"/>
            </w:r>
            <w:r>
              <w:rPr>
                <w:noProof/>
                <w:webHidden/>
              </w:rPr>
              <w:instrText xml:space="preserve"> PAGEREF _Toc189121512 \h </w:instrText>
            </w:r>
            <w:r>
              <w:rPr>
                <w:noProof/>
                <w:webHidden/>
              </w:rPr>
            </w:r>
            <w:r>
              <w:rPr>
                <w:noProof/>
                <w:webHidden/>
              </w:rPr>
              <w:fldChar w:fldCharType="separate"/>
            </w:r>
            <w:r w:rsidR="00CE69EB">
              <w:rPr>
                <w:noProof/>
                <w:webHidden/>
              </w:rPr>
              <w:t>20</w:t>
            </w:r>
            <w:r>
              <w:rPr>
                <w:noProof/>
                <w:webHidden/>
              </w:rPr>
              <w:fldChar w:fldCharType="end"/>
            </w:r>
          </w:hyperlink>
        </w:p>
        <w:p w:rsidR="00181D89" w:rsidRDefault="00181D89">
          <w:pPr>
            <w:pStyle w:val="Sommario2"/>
            <w:tabs>
              <w:tab w:val="left" w:pos="960"/>
              <w:tab w:val="right" w:leader="dot" w:pos="9628"/>
            </w:tabs>
            <w:rPr>
              <w:rFonts w:asciiTheme="minorHAnsi" w:eastAsiaTheme="minorEastAsia" w:hAnsiTheme="minorHAnsi" w:cstheme="minorBidi"/>
              <w:b w:val="0"/>
              <w:bCs w:val="0"/>
              <w:noProof/>
            </w:rPr>
          </w:pPr>
          <w:hyperlink w:anchor="_Toc189121513" w:history="1">
            <w:r w:rsidRPr="000A5BE5">
              <w:rPr>
                <w:rStyle w:val="Collegamentoipertestuale"/>
                <w:rFonts w:eastAsiaTheme="majorEastAsia"/>
                <w:noProof/>
              </w:rPr>
              <w:t>9.4</w:t>
            </w:r>
            <w:r>
              <w:rPr>
                <w:rFonts w:asciiTheme="minorHAnsi" w:eastAsiaTheme="minorEastAsia" w:hAnsiTheme="minorHAnsi" w:cstheme="minorBidi"/>
                <w:b w:val="0"/>
                <w:bCs w:val="0"/>
                <w:noProof/>
              </w:rPr>
              <w:tab/>
            </w:r>
            <w:r w:rsidRPr="000A5BE5">
              <w:rPr>
                <w:rStyle w:val="Collegamentoipertestuale"/>
                <w:rFonts w:eastAsiaTheme="majorEastAsia"/>
                <w:noProof/>
              </w:rPr>
              <w:t>Misure specifiche di regolamentazione</w:t>
            </w:r>
            <w:r>
              <w:rPr>
                <w:noProof/>
                <w:webHidden/>
              </w:rPr>
              <w:tab/>
            </w:r>
            <w:r>
              <w:rPr>
                <w:noProof/>
                <w:webHidden/>
              </w:rPr>
              <w:fldChar w:fldCharType="begin"/>
            </w:r>
            <w:r>
              <w:rPr>
                <w:noProof/>
                <w:webHidden/>
              </w:rPr>
              <w:instrText xml:space="preserve"> PAGEREF _Toc189121513 \h </w:instrText>
            </w:r>
            <w:r>
              <w:rPr>
                <w:noProof/>
                <w:webHidden/>
              </w:rPr>
            </w:r>
            <w:r>
              <w:rPr>
                <w:noProof/>
                <w:webHidden/>
              </w:rPr>
              <w:fldChar w:fldCharType="separate"/>
            </w:r>
            <w:r w:rsidR="00CE69EB">
              <w:rPr>
                <w:noProof/>
                <w:webHidden/>
              </w:rPr>
              <w:t>20</w:t>
            </w:r>
            <w:r>
              <w:rPr>
                <w:noProof/>
                <w:webHidden/>
              </w:rPr>
              <w:fldChar w:fldCharType="end"/>
            </w:r>
          </w:hyperlink>
        </w:p>
        <w:p w:rsidR="00181D89" w:rsidRDefault="00181D89">
          <w:pPr>
            <w:pStyle w:val="Sommario2"/>
            <w:tabs>
              <w:tab w:val="left" w:pos="960"/>
              <w:tab w:val="right" w:leader="dot" w:pos="9628"/>
            </w:tabs>
            <w:rPr>
              <w:rFonts w:asciiTheme="minorHAnsi" w:eastAsiaTheme="minorEastAsia" w:hAnsiTheme="minorHAnsi" w:cstheme="minorBidi"/>
              <w:b w:val="0"/>
              <w:bCs w:val="0"/>
              <w:noProof/>
            </w:rPr>
          </w:pPr>
          <w:hyperlink w:anchor="_Toc189121514" w:history="1">
            <w:r w:rsidRPr="000A5BE5">
              <w:rPr>
                <w:rStyle w:val="Collegamentoipertestuale"/>
                <w:rFonts w:eastAsiaTheme="majorEastAsia"/>
                <w:noProof/>
              </w:rPr>
              <w:t>9.5</w:t>
            </w:r>
            <w:r>
              <w:rPr>
                <w:rFonts w:asciiTheme="minorHAnsi" w:eastAsiaTheme="minorEastAsia" w:hAnsiTheme="minorHAnsi" w:cstheme="minorBidi"/>
                <w:b w:val="0"/>
                <w:bCs w:val="0"/>
                <w:noProof/>
              </w:rPr>
              <w:tab/>
            </w:r>
            <w:r w:rsidRPr="000A5BE5">
              <w:rPr>
                <w:rStyle w:val="Collegamentoipertestuale"/>
                <w:rFonts w:eastAsiaTheme="majorEastAsia"/>
                <w:noProof/>
              </w:rPr>
              <w:t>Misure specifiche di semplificazione</w:t>
            </w:r>
            <w:r>
              <w:rPr>
                <w:noProof/>
                <w:webHidden/>
              </w:rPr>
              <w:tab/>
            </w:r>
            <w:r>
              <w:rPr>
                <w:noProof/>
                <w:webHidden/>
              </w:rPr>
              <w:fldChar w:fldCharType="begin"/>
            </w:r>
            <w:r>
              <w:rPr>
                <w:noProof/>
                <w:webHidden/>
              </w:rPr>
              <w:instrText xml:space="preserve"> PAGEREF _Toc189121514 \h </w:instrText>
            </w:r>
            <w:r>
              <w:rPr>
                <w:noProof/>
                <w:webHidden/>
              </w:rPr>
            </w:r>
            <w:r>
              <w:rPr>
                <w:noProof/>
                <w:webHidden/>
              </w:rPr>
              <w:fldChar w:fldCharType="separate"/>
            </w:r>
            <w:r w:rsidR="00CE69EB">
              <w:rPr>
                <w:noProof/>
                <w:webHidden/>
              </w:rPr>
              <w:t>21</w:t>
            </w:r>
            <w:r>
              <w:rPr>
                <w:noProof/>
                <w:webHidden/>
              </w:rPr>
              <w:fldChar w:fldCharType="end"/>
            </w:r>
          </w:hyperlink>
        </w:p>
        <w:p w:rsidR="00181D89" w:rsidRDefault="00181D89">
          <w:pPr>
            <w:pStyle w:val="Sommario2"/>
            <w:tabs>
              <w:tab w:val="left" w:pos="960"/>
              <w:tab w:val="right" w:leader="dot" w:pos="9628"/>
            </w:tabs>
            <w:rPr>
              <w:rFonts w:asciiTheme="minorHAnsi" w:eastAsiaTheme="minorEastAsia" w:hAnsiTheme="minorHAnsi" w:cstheme="minorBidi"/>
              <w:b w:val="0"/>
              <w:bCs w:val="0"/>
              <w:noProof/>
            </w:rPr>
          </w:pPr>
          <w:hyperlink w:anchor="_Toc189121515" w:history="1">
            <w:r w:rsidRPr="000A5BE5">
              <w:rPr>
                <w:rStyle w:val="Collegamentoipertestuale"/>
                <w:rFonts w:eastAsiaTheme="majorEastAsia"/>
                <w:noProof/>
              </w:rPr>
              <w:t>9.6</w:t>
            </w:r>
            <w:r>
              <w:rPr>
                <w:rFonts w:asciiTheme="minorHAnsi" w:eastAsiaTheme="minorEastAsia" w:hAnsiTheme="minorHAnsi" w:cstheme="minorBidi"/>
                <w:b w:val="0"/>
                <w:bCs w:val="0"/>
                <w:noProof/>
              </w:rPr>
              <w:tab/>
            </w:r>
            <w:r w:rsidRPr="000A5BE5">
              <w:rPr>
                <w:rStyle w:val="Collegamentoipertestuale"/>
                <w:rFonts w:eastAsiaTheme="majorEastAsia"/>
                <w:noProof/>
              </w:rPr>
              <w:t>Misure specifiche di formazione</w:t>
            </w:r>
            <w:r>
              <w:rPr>
                <w:noProof/>
                <w:webHidden/>
              </w:rPr>
              <w:tab/>
            </w:r>
            <w:r>
              <w:rPr>
                <w:noProof/>
                <w:webHidden/>
              </w:rPr>
              <w:fldChar w:fldCharType="begin"/>
            </w:r>
            <w:r>
              <w:rPr>
                <w:noProof/>
                <w:webHidden/>
              </w:rPr>
              <w:instrText xml:space="preserve"> PAGEREF _Toc189121515 \h </w:instrText>
            </w:r>
            <w:r>
              <w:rPr>
                <w:noProof/>
                <w:webHidden/>
              </w:rPr>
            </w:r>
            <w:r>
              <w:rPr>
                <w:noProof/>
                <w:webHidden/>
              </w:rPr>
              <w:fldChar w:fldCharType="separate"/>
            </w:r>
            <w:r w:rsidR="00CE69EB">
              <w:rPr>
                <w:noProof/>
                <w:webHidden/>
              </w:rPr>
              <w:t>21</w:t>
            </w:r>
            <w:r>
              <w:rPr>
                <w:noProof/>
                <w:webHidden/>
              </w:rPr>
              <w:fldChar w:fldCharType="end"/>
            </w:r>
          </w:hyperlink>
        </w:p>
        <w:p w:rsidR="00181D89" w:rsidRDefault="00181D89">
          <w:pPr>
            <w:pStyle w:val="Sommario2"/>
            <w:tabs>
              <w:tab w:val="left" w:pos="960"/>
              <w:tab w:val="right" w:leader="dot" w:pos="9628"/>
            </w:tabs>
            <w:rPr>
              <w:rFonts w:asciiTheme="minorHAnsi" w:eastAsiaTheme="minorEastAsia" w:hAnsiTheme="minorHAnsi" w:cstheme="minorBidi"/>
              <w:b w:val="0"/>
              <w:bCs w:val="0"/>
              <w:noProof/>
            </w:rPr>
          </w:pPr>
          <w:hyperlink w:anchor="_Toc189121516" w:history="1">
            <w:r w:rsidRPr="000A5BE5">
              <w:rPr>
                <w:rStyle w:val="Collegamentoipertestuale"/>
                <w:rFonts w:eastAsiaTheme="majorEastAsia"/>
                <w:noProof/>
              </w:rPr>
              <w:t>9.7</w:t>
            </w:r>
            <w:r>
              <w:rPr>
                <w:rFonts w:asciiTheme="minorHAnsi" w:eastAsiaTheme="minorEastAsia" w:hAnsiTheme="minorHAnsi" w:cstheme="minorBidi"/>
                <w:b w:val="0"/>
                <w:bCs w:val="0"/>
                <w:noProof/>
              </w:rPr>
              <w:tab/>
            </w:r>
            <w:r w:rsidRPr="000A5BE5">
              <w:rPr>
                <w:rStyle w:val="Collegamentoipertestuale"/>
                <w:rFonts w:eastAsiaTheme="majorEastAsia"/>
                <w:noProof/>
              </w:rPr>
              <w:t>Misure specifiche di rotazione</w:t>
            </w:r>
            <w:r>
              <w:rPr>
                <w:noProof/>
                <w:webHidden/>
              </w:rPr>
              <w:tab/>
            </w:r>
            <w:r>
              <w:rPr>
                <w:noProof/>
                <w:webHidden/>
              </w:rPr>
              <w:fldChar w:fldCharType="begin"/>
            </w:r>
            <w:r>
              <w:rPr>
                <w:noProof/>
                <w:webHidden/>
              </w:rPr>
              <w:instrText xml:space="preserve"> PAGEREF _Toc189121516 \h </w:instrText>
            </w:r>
            <w:r>
              <w:rPr>
                <w:noProof/>
                <w:webHidden/>
              </w:rPr>
            </w:r>
            <w:r>
              <w:rPr>
                <w:noProof/>
                <w:webHidden/>
              </w:rPr>
              <w:fldChar w:fldCharType="separate"/>
            </w:r>
            <w:r w:rsidR="00CE69EB">
              <w:rPr>
                <w:noProof/>
                <w:webHidden/>
              </w:rPr>
              <w:t>21</w:t>
            </w:r>
            <w:r>
              <w:rPr>
                <w:noProof/>
                <w:webHidden/>
              </w:rPr>
              <w:fldChar w:fldCharType="end"/>
            </w:r>
          </w:hyperlink>
        </w:p>
        <w:p w:rsidR="00181D89" w:rsidRDefault="00181D89">
          <w:pPr>
            <w:pStyle w:val="Sommario2"/>
            <w:tabs>
              <w:tab w:val="left" w:pos="960"/>
              <w:tab w:val="right" w:leader="dot" w:pos="9628"/>
            </w:tabs>
            <w:rPr>
              <w:rFonts w:asciiTheme="minorHAnsi" w:eastAsiaTheme="minorEastAsia" w:hAnsiTheme="minorHAnsi" w:cstheme="minorBidi"/>
              <w:b w:val="0"/>
              <w:bCs w:val="0"/>
              <w:noProof/>
            </w:rPr>
          </w:pPr>
          <w:hyperlink w:anchor="_Toc189121517" w:history="1">
            <w:r w:rsidRPr="000A5BE5">
              <w:rPr>
                <w:rStyle w:val="Collegamentoipertestuale"/>
                <w:rFonts w:eastAsiaTheme="majorEastAsia"/>
                <w:noProof/>
              </w:rPr>
              <w:t>9.8</w:t>
            </w:r>
            <w:r>
              <w:rPr>
                <w:rFonts w:asciiTheme="minorHAnsi" w:eastAsiaTheme="minorEastAsia" w:hAnsiTheme="minorHAnsi" w:cstheme="minorBidi"/>
                <w:b w:val="0"/>
                <w:bCs w:val="0"/>
                <w:noProof/>
              </w:rPr>
              <w:tab/>
            </w:r>
            <w:r w:rsidRPr="000A5BE5">
              <w:rPr>
                <w:rStyle w:val="Collegamentoipertestuale"/>
                <w:rFonts w:eastAsiaTheme="majorEastAsia"/>
                <w:noProof/>
              </w:rPr>
              <w:t>Misure specifiche di disciplina del conflitto di interessi</w:t>
            </w:r>
            <w:r>
              <w:rPr>
                <w:noProof/>
                <w:webHidden/>
              </w:rPr>
              <w:tab/>
            </w:r>
            <w:r>
              <w:rPr>
                <w:noProof/>
                <w:webHidden/>
              </w:rPr>
              <w:fldChar w:fldCharType="begin"/>
            </w:r>
            <w:r>
              <w:rPr>
                <w:noProof/>
                <w:webHidden/>
              </w:rPr>
              <w:instrText xml:space="preserve"> PAGEREF _Toc189121517 \h </w:instrText>
            </w:r>
            <w:r>
              <w:rPr>
                <w:noProof/>
                <w:webHidden/>
              </w:rPr>
            </w:r>
            <w:r>
              <w:rPr>
                <w:noProof/>
                <w:webHidden/>
              </w:rPr>
              <w:fldChar w:fldCharType="separate"/>
            </w:r>
            <w:r w:rsidR="00CE69EB">
              <w:rPr>
                <w:noProof/>
                <w:webHidden/>
              </w:rPr>
              <w:t>23</w:t>
            </w:r>
            <w:r>
              <w:rPr>
                <w:noProof/>
                <w:webHidden/>
              </w:rPr>
              <w:fldChar w:fldCharType="end"/>
            </w:r>
          </w:hyperlink>
        </w:p>
        <w:p w:rsidR="006440AE" w:rsidRDefault="00F6758F">
          <w:r>
            <w:fldChar w:fldCharType="end"/>
          </w:r>
        </w:p>
      </w:sdtContent>
    </w:sdt>
    <w:p w:rsidR="006440AE" w:rsidRDefault="006440AE"/>
    <w:p w:rsidR="006440AE" w:rsidRDefault="00F6758F">
      <w:pPr>
        <w:rPr>
          <w:b/>
        </w:rPr>
      </w:pPr>
      <w:r>
        <w:br w:type="page"/>
      </w:r>
    </w:p>
    <w:p w:rsidR="006440AE" w:rsidRDefault="00F6758F">
      <w:pPr>
        <w:pStyle w:val="Titolo1"/>
        <w:spacing w:before="0"/>
      </w:pPr>
      <w:bookmarkStart w:id="0" w:name="_Toc189121485"/>
      <w:r>
        <w:lastRenderedPageBreak/>
        <w:t>ANAGRAFICA AMMINISTRAZIONE</w:t>
      </w:r>
      <w:bookmarkEnd w:id="0"/>
    </w:p>
    <w:p w:rsidR="006440AE" w:rsidRDefault="006440AE"/>
    <w:p w:rsidR="006440AE" w:rsidRDefault="00F6758F">
      <w:pPr>
        <w:jc w:val="both"/>
      </w:pPr>
      <w:r>
        <w:t>Codice fiscale Amministrazione: 06593810481</w:t>
      </w:r>
    </w:p>
    <w:p w:rsidR="006440AE" w:rsidRDefault="00F6758F">
      <w:pPr>
        <w:jc w:val="both"/>
      </w:pPr>
      <w:r>
        <w:t>Denominazione Amministrazione: AZIENDA UNITA' SANITARIA LOCALE TOSCANA CENTRO</w:t>
      </w:r>
    </w:p>
    <w:p w:rsidR="006440AE" w:rsidRDefault="00F6758F">
      <w:pPr>
        <w:jc w:val="both"/>
      </w:pPr>
      <w:r>
        <w:t>Tipologia di amministrazione: Azienda/Ente pubblico del Settore Sanitario (e assimilato)</w:t>
      </w:r>
    </w:p>
    <w:p w:rsidR="006440AE" w:rsidRDefault="00F6758F">
      <w:pPr>
        <w:jc w:val="both"/>
      </w:pPr>
      <w:r>
        <w:t>Regione di appartenenza: Toscana</w:t>
      </w:r>
    </w:p>
    <w:p w:rsidR="006440AE" w:rsidRDefault="00F6758F">
      <w:pPr>
        <w:jc w:val="both"/>
      </w:pPr>
      <w:r>
        <w:t>Classe dipendenti: maggiore di 499</w:t>
      </w:r>
    </w:p>
    <w:p w:rsidR="006440AE" w:rsidRDefault="00F6758F">
      <w:pPr>
        <w:jc w:val="both"/>
      </w:pPr>
      <w:r>
        <w:t>Numero totale Dirigenti: 2922</w:t>
      </w:r>
    </w:p>
    <w:p w:rsidR="006440AE" w:rsidRDefault="00F6758F">
      <w:pPr>
        <w:jc w:val="both"/>
      </w:pPr>
      <w:r>
        <w:t>Numero di dipendenti con funzioni dirigenziali: 909</w:t>
      </w:r>
    </w:p>
    <w:p w:rsidR="006440AE" w:rsidRDefault="006440AE"/>
    <w:p w:rsidR="006440AE" w:rsidRDefault="00F6758F">
      <w:pPr>
        <w:pStyle w:val="Titolo1"/>
      </w:pPr>
      <w:bookmarkStart w:id="1" w:name="_Toc189121486"/>
      <w:r>
        <w:t>ANAGRAFICA RPCT</w:t>
      </w:r>
      <w:bookmarkEnd w:id="1"/>
    </w:p>
    <w:p w:rsidR="006440AE" w:rsidRDefault="006440AE"/>
    <w:p w:rsidR="006440AE" w:rsidRDefault="00F6758F">
      <w:r>
        <w:t>Nome RPCT: GIANLUCA</w:t>
      </w:r>
    </w:p>
    <w:p w:rsidR="006440AE" w:rsidRDefault="00F6758F">
      <w:r>
        <w:t>Cognome RPCT: NAPPO</w:t>
      </w:r>
    </w:p>
    <w:p w:rsidR="006440AE" w:rsidRDefault="00F6758F">
      <w:r>
        <w:t>Qualifica: Direttore</w:t>
      </w:r>
    </w:p>
    <w:p w:rsidR="006440AE" w:rsidRDefault="00F6758F">
      <w:r>
        <w:t>Posizione occupata: Direttore SOS Anticorruzione e trasparenza</w:t>
      </w:r>
    </w:p>
    <w:p w:rsidR="006440AE" w:rsidRDefault="00F6758F">
      <w:r>
        <w:t>Data inizio incarico di RPCT: 01/08/2022</w:t>
      </w:r>
    </w:p>
    <w:p w:rsidR="006440AE" w:rsidRDefault="00F6758F">
      <w:r>
        <w:t>RPC svolge anche le funzioni di Responsabile della Trasparenza.</w:t>
      </w:r>
    </w:p>
    <w:p w:rsidR="006440AE" w:rsidRDefault="006440AE">
      <w:pPr>
        <w:rPr>
          <w:u w:val="single"/>
        </w:rPr>
      </w:pPr>
    </w:p>
    <w:p w:rsidR="006440AE" w:rsidRDefault="00F6758F">
      <w:pPr>
        <w:pStyle w:val="Titolo1"/>
      </w:pPr>
      <w:bookmarkStart w:id="2" w:name="OLE_LINK1"/>
      <w:bookmarkStart w:id="3" w:name="_Toc189121487"/>
      <w:r>
        <w:t>RENDICONTAZIONE MISURE GENERALI</w:t>
      </w:r>
      <w:bookmarkEnd w:id="2"/>
      <w:bookmarkEnd w:id="3"/>
    </w:p>
    <w:p w:rsidR="006440AE" w:rsidRDefault="006440AE"/>
    <w:p w:rsidR="006440AE" w:rsidRDefault="00F6758F">
      <w:r>
        <w:t>La presente sezione illustra l’andamento relativo all’attuazione delle misure generali per l’anno di riferimento del PTPCT o della sezione Anticorruzione e Trasparenza del PIAO.</w:t>
      </w:r>
    </w:p>
    <w:p w:rsidR="006440AE" w:rsidRDefault="006440AE">
      <w:pPr>
        <w:rPr>
          <w:i/>
        </w:rPr>
      </w:pPr>
    </w:p>
    <w:p w:rsidR="006440AE" w:rsidRDefault="00F6758F">
      <w:pPr>
        <w:pStyle w:val="Titolo2"/>
      </w:pPr>
      <w:bookmarkStart w:id="4" w:name="_Toc189121488"/>
      <w:r>
        <w:t>Sintesi dell’attuazione delle misure generali</w:t>
      </w:r>
      <w:bookmarkEnd w:id="4"/>
      <w:r>
        <w:t xml:space="preserve"> </w:t>
      </w:r>
    </w:p>
    <w:p w:rsidR="006440AE" w:rsidRDefault="006440AE"/>
    <w:p w:rsidR="006440AE" w:rsidRDefault="00F6758F">
      <w:pPr>
        <w:jc w:val="both"/>
      </w:pPr>
      <w:r>
        <w:t>Nel corso dell’annualità di riferimento, lo stato di programmazione e attuazione delle misure generali è sintetizzato nella seguente tabella</w:t>
      </w:r>
    </w:p>
    <w:p w:rsidR="006440AE" w:rsidRDefault="006440AE"/>
    <w:tbl>
      <w:tblPr>
        <w:tblStyle w:val="Grigliatabella"/>
        <w:tblW w:w="9630" w:type="dxa"/>
        <w:tblInd w:w="108" w:type="dxa"/>
        <w:tblLayout w:type="fixed"/>
        <w:tblLook w:val="04A0" w:firstRow="1" w:lastRow="0" w:firstColumn="1" w:lastColumn="0" w:noHBand="0" w:noVBand="1"/>
      </w:tblPr>
      <w:tblGrid>
        <w:gridCol w:w="6458"/>
        <w:gridCol w:w="1590"/>
        <w:gridCol w:w="1582"/>
      </w:tblGrid>
      <w:tr w:rsidR="006440AE">
        <w:trPr>
          <w:trHeight w:val="288"/>
        </w:trPr>
        <w:tc>
          <w:tcPr>
            <w:tcW w:w="6458" w:type="dxa"/>
          </w:tcPr>
          <w:p w:rsidR="006440AE" w:rsidRDefault="00F6758F">
            <w:pPr>
              <w:jc w:val="center"/>
              <w:rPr>
                <w:b/>
                <w:bCs/>
              </w:rPr>
            </w:pPr>
            <w:r>
              <w:rPr>
                <w:rFonts w:ascii="Calibri" w:hAnsi="Calibri" w:cs="Calibri"/>
                <w:b/>
                <w:bCs/>
                <w:color w:val="000000"/>
                <w:sz w:val="22"/>
                <w:szCs w:val="22"/>
              </w:rPr>
              <w:t>Misure generali</w:t>
            </w:r>
          </w:p>
        </w:tc>
        <w:tc>
          <w:tcPr>
            <w:tcW w:w="1590" w:type="dxa"/>
          </w:tcPr>
          <w:p w:rsidR="006440AE" w:rsidRDefault="00F6758F">
            <w:pPr>
              <w:jc w:val="center"/>
              <w:rPr>
                <w:b/>
                <w:bCs/>
              </w:rPr>
            </w:pPr>
            <w:r>
              <w:rPr>
                <w:rFonts w:ascii="Calibri" w:hAnsi="Calibri" w:cs="Calibri"/>
                <w:b/>
                <w:bCs/>
                <w:color w:val="000000"/>
                <w:sz w:val="22"/>
                <w:szCs w:val="22"/>
              </w:rPr>
              <w:t>Pianificata</w:t>
            </w:r>
          </w:p>
        </w:tc>
        <w:tc>
          <w:tcPr>
            <w:tcW w:w="1582" w:type="dxa"/>
          </w:tcPr>
          <w:p w:rsidR="006440AE" w:rsidRDefault="00F6758F">
            <w:pPr>
              <w:jc w:val="center"/>
              <w:rPr>
                <w:b/>
                <w:bCs/>
              </w:rPr>
            </w:pPr>
            <w:r>
              <w:rPr>
                <w:rFonts w:ascii="Calibri" w:hAnsi="Calibri" w:cs="Calibri"/>
                <w:b/>
                <w:bCs/>
                <w:color w:val="000000"/>
                <w:sz w:val="22"/>
                <w:szCs w:val="22"/>
              </w:rPr>
              <w:t>Attuata</w:t>
            </w:r>
          </w:p>
        </w:tc>
      </w:tr>
      <w:tr w:rsidR="006440AE">
        <w:trPr>
          <w:trHeight w:val="288"/>
        </w:trPr>
        <w:tc>
          <w:tcPr>
            <w:tcW w:w="6458" w:type="dxa"/>
          </w:tcPr>
          <w:p w:rsidR="006440AE" w:rsidRDefault="00F6758F">
            <w:pPr>
              <w:rPr>
                <w:rFonts w:ascii="Calibri" w:hAnsi="Calibri" w:cs="Calibri"/>
                <w:color w:val="000000"/>
                <w:sz w:val="22"/>
                <w:szCs w:val="22"/>
              </w:rPr>
            </w:pPr>
            <w:r>
              <w:rPr>
                <w:rFonts w:ascii="Calibri" w:hAnsi="Calibri" w:cs="Calibri"/>
                <w:color w:val="000000"/>
                <w:sz w:val="22"/>
                <w:szCs w:val="22"/>
              </w:rPr>
              <w:t>Codice di comportamento</w:t>
            </w:r>
          </w:p>
        </w:tc>
        <w:tc>
          <w:tcPr>
            <w:tcW w:w="1590" w:type="dxa"/>
          </w:tcPr>
          <w:p w:rsidR="006440AE" w:rsidRDefault="00F6758F">
            <w:pPr>
              <w:jc w:val="center"/>
            </w:pPr>
            <w:r>
              <w:rPr>
                <w:rFonts w:ascii="Calibri" w:hAnsi="Calibri" w:cs="Calibri"/>
                <w:color w:val="000000"/>
                <w:sz w:val="22"/>
                <w:szCs w:val="22"/>
              </w:rPr>
              <w:t>Si</w:t>
            </w:r>
          </w:p>
        </w:tc>
        <w:tc>
          <w:tcPr>
            <w:tcW w:w="1582" w:type="dxa"/>
          </w:tcPr>
          <w:p w:rsidR="006440AE" w:rsidRDefault="00F6758F">
            <w:pPr>
              <w:jc w:val="center"/>
            </w:pPr>
            <w:r>
              <w:rPr>
                <w:rFonts w:ascii="Calibri" w:hAnsi="Calibri" w:cs="Calibri"/>
                <w:sz w:val="22"/>
                <w:szCs w:val="22"/>
              </w:rPr>
              <w:t>Si</w:t>
            </w:r>
          </w:p>
        </w:tc>
      </w:tr>
      <w:tr w:rsidR="006440AE">
        <w:trPr>
          <w:trHeight w:val="288"/>
        </w:trPr>
        <w:tc>
          <w:tcPr>
            <w:tcW w:w="6458" w:type="dxa"/>
          </w:tcPr>
          <w:p w:rsidR="006440AE" w:rsidRDefault="00F6758F">
            <w:pPr>
              <w:rPr>
                <w:rFonts w:ascii="Calibri" w:hAnsi="Calibri" w:cs="Calibri"/>
                <w:color w:val="000000"/>
                <w:sz w:val="22"/>
                <w:szCs w:val="22"/>
              </w:rPr>
            </w:pPr>
            <w:r>
              <w:rPr>
                <w:rFonts w:ascii="Calibri" w:hAnsi="Calibri" w:cs="Calibri"/>
                <w:color w:val="000000"/>
                <w:sz w:val="22"/>
                <w:szCs w:val="22"/>
              </w:rPr>
              <w:t>Rotazione ordinaria del personale</w:t>
            </w:r>
          </w:p>
        </w:tc>
        <w:tc>
          <w:tcPr>
            <w:tcW w:w="1590" w:type="dxa"/>
          </w:tcPr>
          <w:p w:rsidR="006440AE" w:rsidRDefault="00F6758F">
            <w:pPr>
              <w:jc w:val="center"/>
            </w:pPr>
            <w:r>
              <w:rPr>
                <w:rFonts w:ascii="Calibri" w:hAnsi="Calibri" w:cs="Calibri"/>
                <w:color w:val="000000"/>
                <w:sz w:val="22"/>
                <w:szCs w:val="22"/>
              </w:rPr>
              <w:t>Si</w:t>
            </w:r>
          </w:p>
        </w:tc>
        <w:tc>
          <w:tcPr>
            <w:tcW w:w="1582" w:type="dxa"/>
          </w:tcPr>
          <w:p w:rsidR="006440AE" w:rsidRDefault="00F6758F">
            <w:pPr>
              <w:jc w:val="center"/>
            </w:pPr>
            <w:r>
              <w:rPr>
                <w:rFonts w:ascii="Calibri" w:hAnsi="Calibri" w:cs="Calibri"/>
                <w:color w:val="000000"/>
                <w:sz w:val="22"/>
                <w:szCs w:val="22"/>
              </w:rPr>
              <w:t>Si</w:t>
            </w:r>
          </w:p>
        </w:tc>
      </w:tr>
      <w:tr w:rsidR="006440AE">
        <w:trPr>
          <w:trHeight w:val="288"/>
        </w:trPr>
        <w:tc>
          <w:tcPr>
            <w:tcW w:w="6458" w:type="dxa"/>
          </w:tcPr>
          <w:p w:rsidR="006440AE" w:rsidRDefault="00F6758F">
            <w:pPr>
              <w:rPr>
                <w:rFonts w:ascii="Calibri" w:hAnsi="Calibri" w:cs="Calibri"/>
                <w:color w:val="000000"/>
                <w:sz w:val="22"/>
                <w:szCs w:val="22"/>
              </w:rPr>
            </w:pPr>
            <w:r>
              <w:rPr>
                <w:rFonts w:ascii="Calibri" w:hAnsi="Calibri" w:cs="Calibri"/>
                <w:color w:val="000000"/>
                <w:sz w:val="22"/>
                <w:szCs w:val="22"/>
              </w:rPr>
              <w:t>Rotazione straordinaria del personale</w:t>
            </w:r>
          </w:p>
        </w:tc>
        <w:tc>
          <w:tcPr>
            <w:tcW w:w="1590" w:type="dxa"/>
          </w:tcPr>
          <w:p w:rsidR="006440AE" w:rsidRDefault="00F6758F">
            <w:pPr>
              <w:jc w:val="center"/>
            </w:pPr>
            <w:r>
              <w:rPr>
                <w:rFonts w:ascii="Calibri" w:hAnsi="Calibri" w:cs="Calibri"/>
                <w:color w:val="000000"/>
                <w:sz w:val="22"/>
                <w:szCs w:val="22"/>
              </w:rPr>
              <w:t>Si</w:t>
            </w:r>
          </w:p>
        </w:tc>
        <w:tc>
          <w:tcPr>
            <w:tcW w:w="1582" w:type="dxa"/>
          </w:tcPr>
          <w:p w:rsidR="006440AE" w:rsidRDefault="00F6758F">
            <w:pPr>
              <w:jc w:val="center"/>
            </w:pPr>
            <w:r>
              <w:rPr>
                <w:rFonts w:ascii="Calibri" w:hAnsi="Calibri" w:cs="Calibri"/>
                <w:color w:val="000000"/>
                <w:sz w:val="22"/>
                <w:szCs w:val="22"/>
              </w:rPr>
              <w:t>Si</w:t>
            </w:r>
          </w:p>
        </w:tc>
      </w:tr>
      <w:tr w:rsidR="006440AE">
        <w:trPr>
          <w:trHeight w:val="288"/>
        </w:trPr>
        <w:tc>
          <w:tcPr>
            <w:tcW w:w="6458" w:type="dxa"/>
          </w:tcPr>
          <w:p w:rsidR="006440AE" w:rsidRDefault="00F6758F">
            <w:pPr>
              <w:rPr>
                <w:rFonts w:ascii="Calibri" w:hAnsi="Calibri" w:cs="Calibri"/>
                <w:color w:val="000000"/>
                <w:sz w:val="22"/>
                <w:szCs w:val="22"/>
              </w:rPr>
            </w:pPr>
            <w:r>
              <w:rPr>
                <w:rFonts w:ascii="Calibri" w:hAnsi="Calibri" w:cs="Calibri"/>
                <w:color w:val="000000"/>
                <w:sz w:val="22"/>
                <w:szCs w:val="22"/>
              </w:rPr>
              <w:t>Inconferibilità - incompatibilità</w:t>
            </w:r>
          </w:p>
        </w:tc>
        <w:tc>
          <w:tcPr>
            <w:tcW w:w="1590" w:type="dxa"/>
          </w:tcPr>
          <w:p w:rsidR="006440AE" w:rsidRDefault="00F6758F">
            <w:pPr>
              <w:jc w:val="center"/>
            </w:pPr>
            <w:r>
              <w:rPr>
                <w:rFonts w:ascii="Calibri" w:hAnsi="Calibri" w:cs="Calibri"/>
                <w:color w:val="000000"/>
                <w:sz w:val="22"/>
                <w:szCs w:val="22"/>
              </w:rPr>
              <w:t>Si</w:t>
            </w:r>
          </w:p>
        </w:tc>
        <w:tc>
          <w:tcPr>
            <w:tcW w:w="1582" w:type="dxa"/>
          </w:tcPr>
          <w:p w:rsidR="006440AE" w:rsidRDefault="00F6758F">
            <w:pPr>
              <w:jc w:val="center"/>
            </w:pPr>
            <w:r>
              <w:rPr>
                <w:rFonts w:ascii="Calibri" w:hAnsi="Calibri" w:cs="Calibri"/>
                <w:color w:val="000000"/>
                <w:sz w:val="22"/>
                <w:szCs w:val="22"/>
              </w:rPr>
              <w:t>Si</w:t>
            </w:r>
          </w:p>
        </w:tc>
      </w:tr>
      <w:tr w:rsidR="006440AE">
        <w:trPr>
          <w:trHeight w:val="288"/>
        </w:trPr>
        <w:tc>
          <w:tcPr>
            <w:tcW w:w="6458" w:type="dxa"/>
          </w:tcPr>
          <w:p w:rsidR="006440AE" w:rsidRDefault="00F6758F">
            <w:pPr>
              <w:rPr>
                <w:rFonts w:ascii="Calibri" w:hAnsi="Calibri" w:cs="Calibri"/>
                <w:color w:val="000000"/>
                <w:sz w:val="22"/>
                <w:szCs w:val="22"/>
              </w:rPr>
            </w:pPr>
            <w:r>
              <w:rPr>
                <w:rFonts w:ascii="Calibri" w:hAnsi="Calibri" w:cs="Calibri"/>
                <w:color w:val="000000"/>
                <w:sz w:val="22"/>
                <w:szCs w:val="22"/>
              </w:rPr>
              <w:t>Incarichi extraistituzionali</w:t>
            </w:r>
          </w:p>
        </w:tc>
        <w:tc>
          <w:tcPr>
            <w:tcW w:w="1590" w:type="dxa"/>
          </w:tcPr>
          <w:p w:rsidR="006440AE" w:rsidRDefault="00F6758F">
            <w:pPr>
              <w:jc w:val="center"/>
            </w:pPr>
            <w:r>
              <w:rPr>
                <w:rFonts w:ascii="Calibri" w:hAnsi="Calibri" w:cs="Calibri"/>
                <w:color w:val="000000"/>
                <w:sz w:val="22"/>
                <w:szCs w:val="22"/>
              </w:rPr>
              <w:t>Si</w:t>
            </w:r>
          </w:p>
        </w:tc>
        <w:tc>
          <w:tcPr>
            <w:tcW w:w="1582" w:type="dxa"/>
          </w:tcPr>
          <w:p w:rsidR="006440AE" w:rsidRDefault="00F6758F">
            <w:pPr>
              <w:jc w:val="center"/>
            </w:pPr>
            <w:r>
              <w:rPr>
                <w:rFonts w:ascii="Calibri" w:hAnsi="Calibri" w:cs="Calibri"/>
                <w:color w:val="000000"/>
                <w:sz w:val="22"/>
                <w:szCs w:val="22"/>
              </w:rPr>
              <w:t>Si</w:t>
            </w:r>
          </w:p>
        </w:tc>
      </w:tr>
      <w:tr w:rsidR="006440AE">
        <w:trPr>
          <w:trHeight w:val="288"/>
        </w:trPr>
        <w:tc>
          <w:tcPr>
            <w:tcW w:w="6458" w:type="dxa"/>
          </w:tcPr>
          <w:p w:rsidR="006440AE" w:rsidRDefault="00F6758F">
            <w:pPr>
              <w:rPr>
                <w:rFonts w:ascii="Calibri" w:hAnsi="Calibri" w:cs="Calibri"/>
                <w:color w:val="000000"/>
                <w:sz w:val="22"/>
                <w:szCs w:val="22"/>
                <w:u w:val="single"/>
              </w:rPr>
            </w:pPr>
            <w:r>
              <w:rPr>
                <w:rFonts w:ascii="Calibri" w:hAnsi="Calibri" w:cs="Calibri"/>
                <w:color w:val="000000"/>
                <w:sz w:val="22"/>
                <w:szCs w:val="22"/>
              </w:rPr>
              <w:t>Whistleblowing</w:t>
            </w:r>
          </w:p>
        </w:tc>
        <w:tc>
          <w:tcPr>
            <w:tcW w:w="1590" w:type="dxa"/>
          </w:tcPr>
          <w:p w:rsidR="006440AE" w:rsidRDefault="00F6758F">
            <w:pPr>
              <w:jc w:val="center"/>
            </w:pPr>
            <w:r>
              <w:rPr>
                <w:rFonts w:ascii="Calibri" w:hAnsi="Calibri" w:cs="Calibri"/>
                <w:color w:val="000000"/>
                <w:sz w:val="22"/>
                <w:szCs w:val="22"/>
              </w:rPr>
              <w:t>Si</w:t>
            </w:r>
          </w:p>
        </w:tc>
        <w:tc>
          <w:tcPr>
            <w:tcW w:w="1582" w:type="dxa"/>
          </w:tcPr>
          <w:p w:rsidR="006440AE" w:rsidRDefault="00F6758F">
            <w:pPr>
              <w:jc w:val="center"/>
            </w:pPr>
            <w:r>
              <w:rPr>
                <w:rFonts w:ascii="Calibri" w:hAnsi="Calibri" w:cs="Calibri"/>
                <w:color w:val="000000"/>
                <w:sz w:val="22"/>
                <w:szCs w:val="22"/>
              </w:rPr>
              <w:t>Si</w:t>
            </w:r>
          </w:p>
        </w:tc>
      </w:tr>
      <w:tr w:rsidR="006440AE">
        <w:trPr>
          <w:trHeight w:val="288"/>
        </w:trPr>
        <w:tc>
          <w:tcPr>
            <w:tcW w:w="6458" w:type="dxa"/>
          </w:tcPr>
          <w:p w:rsidR="006440AE" w:rsidRDefault="00F6758F">
            <w:pPr>
              <w:rPr>
                <w:rFonts w:ascii="Calibri" w:hAnsi="Calibri" w:cs="Calibri"/>
                <w:color w:val="000000"/>
                <w:sz w:val="22"/>
                <w:szCs w:val="22"/>
              </w:rPr>
            </w:pPr>
            <w:r>
              <w:rPr>
                <w:rFonts w:ascii="Calibri" w:hAnsi="Calibri" w:cs="Calibri"/>
                <w:color w:val="000000"/>
                <w:sz w:val="22"/>
                <w:szCs w:val="22"/>
              </w:rPr>
              <w:t>Formazione</w:t>
            </w:r>
          </w:p>
        </w:tc>
        <w:tc>
          <w:tcPr>
            <w:tcW w:w="1590" w:type="dxa"/>
          </w:tcPr>
          <w:p w:rsidR="006440AE" w:rsidRDefault="00F6758F">
            <w:pPr>
              <w:jc w:val="center"/>
            </w:pPr>
            <w:r>
              <w:rPr>
                <w:rFonts w:ascii="Calibri" w:hAnsi="Calibri" w:cs="Calibri"/>
                <w:color w:val="000000"/>
                <w:sz w:val="22"/>
                <w:szCs w:val="22"/>
              </w:rPr>
              <w:t>Si</w:t>
            </w:r>
          </w:p>
        </w:tc>
        <w:tc>
          <w:tcPr>
            <w:tcW w:w="1582" w:type="dxa"/>
          </w:tcPr>
          <w:p w:rsidR="006440AE" w:rsidRDefault="00F6758F">
            <w:pPr>
              <w:jc w:val="center"/>
            </w:pPr>
            <w:r>
              <w:rPr>
                <w:rFonts w:ascii="Calibri" w:hAnsi="Calibri" w:cs="Calibri"/>
                <w:color w:val="000000"/>
                <w:sz w:val="22"/>
                <w:szCs w:val="22"/>
              </w:rPr>
              <w:t>Si</w:t>
            </w:r>
          </w:p>
        </w:tc>
      </w:tr>
      <w:tr w:rsidR="006440AE">
        <w:trPr>
          <w:trHeight w:val="288"/>
        </w:trPr>
        <w:tc>
          <w:tcPr>
            <w:tcW w:w="6458" w:type="dxa"/>
          </w:tcPr>
          <w:p w:rsidR="006440AE" w:rsidRDefault="00F6758F">
            <w:pPr>
              <w:rPr>
                <w:rFonts w:ascii="Calibri" w:hAnsi="Calibri" w:cs="Calibri"/>
                <w:color w:val="000000"/>
                <w:sz w:val="22"/>
                <w:szCs w:val="22"/>
              </w:rPr>
            </w:pPr>
            <w:r>
              <w:rPr>
                <w:rFonts w:ascii="Calibri" w:hAnsi="Calibri" w:cs="Calibri"/>
                <w:color w:val="000000"/>
                <w:sz w:val="22"/>
                <w:szCs w:val="22"/>
              </w:rPr>
              <w:t>Trasparenza</w:t>
            </w:r>
          </w:p>
        </w:tc>
        <w:tc>
          <w:tcPr>
            <w:tcW w:w="1590" w:type="dxa"/>
          </w:tcPr>
          <w:p w:rsidR="006440AE" w:rsidRDefault="00F6758F">
            <w:pPr>
              <w:jc w:val="center"/>
            </w:pPr>
            <w:r>
              <w:rPr>
                <w:rFonts w:ascii="Calibri" w:hAnsi="Calibri" w:cs="Calibri"/>
                <w:color w:val="000000"/>
                <w:sz w:val="22"/>
                <w:szCs w:val="22"/>
              </w:rPr>
              <w:t>Si</w:t>
            </w:r>
          </w:p>
        </w:tc>
        <w:tc>
          <w:tcPr>
            <w:tcW w:w="1582" w:type="dxa"/>
          </w:tcPr>
          <w:p w:rsidR="006440AE" w:rsidRDefault="00F6758F">
            <w:pPr>
              <w:jc w:val="center"/>
            </w:pPr>
            <w:r>
              <w:rPr>
                <w:rFonts w:ascii="Calibri" w:hAnsi="Calibri" w:cs="Calibri"/>
                <w:color w:val="000000"/>
                <w:sz w:val="22"/>
                <w:szCs w:val="22"/>
              </w:rPr>
              <w:t>Si</w:t>
            </w:r>
          </w:p>
        </w:tc>
      </w:tr>
      <w:tr w:rsidR="006440AE">
        <w:trPr>
          <w:trHeight w:val="288"/>
        </w:trPr>
        <w:tc>
          <w:tcPr>
            <w:tcW w:w="6458" w:type="dxa"/>
          </w:tcPr>
          <w:p w:rsidR="006440AE" w:rsidRDefault="00F6758F">
            <w:pPr>
              <w:rPr>
                <w:rFonts w:ascii="Calibri" w:hAnsi="Calibri" w:cs="Calibri"/>
                <w:color w:val="000000"/>
                <w:sz w:val="22"/>
                <w:szCs w:val="22"/>
              </w:rPr>
            </w:pPr>
            <w:r>
              <w:rPr>
                <w:rFonts w:ascii="Calibri" w:hAnsi="Calibri" w:cs="Calibri"/>
                <w:color w:val="000000"/>
                <w:sz w:val="22"/>
                <w:szCs w:val="22"/>
              </w:rPr>
              <w:t>Svolgimento attività successiva cessazione lavoro – pantouflage</w:t>
            </w:r>
          </w:p>
        </w:tc>
        <w:tc>
          <w:tcPr>
            <w:tcW w:w="1590" w:type="dxa"/>
          </w:tcPr>
          <w:p w:rsidR="006440AE" w:rsidRDefault="00F6758F">
            <w:pPr>
              <w:jc w:val="center"/>
            </w:pPr>
            <w:r>
              <w:rPr>
                <w:rFonts w:ascii="Calibri" w:hAnsi="Calibri" w:cs="Calibri"/>
                <w:color w:val="000000"/>
                <w:sz w:val="22"/>
                <w:szCs w:val="22"/>
              </w:rPr>
              <w:t>Si</w:t>
            </w:r>
          </w:p>
        </w:tc>
        <w:tc>
          <w:tcPr>
            <w:tcW w:w="1582" w:type="dxa"/>
          </w:tcPr>
          <w:p w:rsidR="006440AE" w:rsidRDefault="00F6758F">
            <w:pPr>
              <w:jc w:val="center"/>
            </w:pPr>
            <w:r>
              <w:rPr>
                <w:rFonts w:ascii="Calibri" w:hAnsi="Calibri" w:cs="Calibri"/>
                <w:color w:val="000000"/>
                <w:sz w:val="22"/>
                <w:szCs w:val="22"/>
              </w:rPr>
              <w:t>Si</w:t>
            </w:r>
          </w:p>
        </w:tc>
      </w:tr>
      <w:tr w:rsidR="006440AE">
        <w:trPr>
          <w:trHeight w:val="288"/>
        </w:trPr>
        <w:tc>
          <w:tcPr>
            <w:tcW w:w="6458" w:type="dxa"/>
          </w:tcPr>
          <w:p w:rsidR="006440AE" w:rsidRDefault="00F6758F">
            <w:pPr>
              <w:rPr>
                <w:rFonts w:ascii="Calibri" w:hAnsi="Calibri" w:cs="Calibri"/>
                <w:color w:val="000000"/>
                <w:sz w:val="22"/>
                <w:szCs w:val="22"/>
              </w:rPr>
            </w:pPr>
            <w:r>
              <w:rPr>
                <w:rFonts w:ascii="Calibri" w:hAnsi="Calibri" w:cs="Calibri"/>
                <w:color w:val="000000"/>
                <w:sz w:val="22"/>
                <w:szCs w:val="22"/>
              </w:rPr>
              <w:t>Commissioni e conferimento incarichi in caso di condanna</w:t>
            </w:r>
          </w:p>
        </w:tc>
        <w:tc>
          <w:tcPr>
            <w:tcW w:w="1590" w:type="dxa"/>
          </w:tcPr>
          <w:p w:rsidR="006440AE" w:rsidRDefault="00F6758F">
            <w:pPr>
              <w:jc w:val="center"/>
            </w:pPr>
            <w:r>
              <w:rPr>
                <w:rFonts w:ascii="Calibri" w:hAnsi="Calibri" w:cs="Calibri"/>
                <w:color w:val="000000"/>
                <w:sz w:val="22"/>
                <w:szCs w:val="22"/>
              </w:rPr>
              <w:t>Si</w:t>
            </w:r>
          </w:p>
        </w:tc>
        <w:tc>
          <w:tcPr>
            <w:tcW w:w="1582" w:type="dxa"/>
          </w:tcPr>
          <w:p w:rsidR="006440AE" w:rsidRDefault="00F6758F">
            <w:pPr>
              <w:jc w:val="center"/>
            </w:pPr>
            <w:r>
              <w:rPr>
                <w:rFonts w:ascii="Calibri" w:hAnsi="Calibri" w:cs="Calibri"/>
                <w:color w:val="000000"/>
                <w:sz w:val="22"/>
                <w:szCs w:val="22"/>
              </w:rPr>
              <w:t>Si</w:t>
            </w:r>
          </w:p>
        </w:tc>
      </w:tr>
      <w:tr w:rsidR="006440AE">
        <w:trPr>
          <w:trHeight w:val="288"/>
        </w:trPr>
        <w:tc>
          <w:tcPr>
            <w:tcW w:w="6458" w:type="dxa"/>
          </w:tcPr>
          <w:p w:rsidR="006440AE" w:rsidRDefault="00F6758F">
            <w:pPr>
              <w:rPr>
                <w:rFonts w:ascii="Calibri" w:hAnsi="Calibri" w:cs="Calibri"/>
                <w:color w:val="000000"/>
                <w:sz w:val="22"/>
                <w:szCs w:val="22"/>
              </w:rPr>
            </w:pPr>
            <w:r>
              <w:rPr>
                <w:rFonts w:ascii="Calibri" w:hAnsi="Calibri" w:cs="Calibri"/>
                <w:color w:val="000000"/>
                <w:sz w:val="22"/>
                <w:szCs w:val="22"/>
              </w:rPr>
              <w:t>Patti di integrità</w:t>
            </w:r>
          </w:p>
        </w:tc>
        <w:tc>
          <w:tcPr>
            <w:tcW w:w="1590" w:type="dxa"/>
          </w:tcPr>
          <w:p w:rsidR="006440AE" w:rsidRDefault="00F6758F">
            <w:pPr>
              <w:jc w:val="center"/>
            </w:pPr>
            <w:r>
              <w:rPr>
                <w:rFonts w:ascii="Calibri" w:hAnsi="Calibri" w:cs="Calibri"/>
                <w:color w:val="000000"/>
                <w:sz w:val="22"/>
                <w:szCs w:val="22"/>
              </w:rPr>
              <w:t>Si</w:t>
            </w:r>
          </w:p>
        </w:tc>
        <w:tc>
          <w:tcPr>
            <w:tcW w:w="1582" w:type="dxa"/>
          </w:tcPr>
          <w:p w:rsidR="006440AE" w:rsidRDefault="00F6758F">
            <w:pPr>
              <w:jc w:val="center"/>
            </w:pPr>
            <w:r>
              <w:rPr>
                <w:rFonts w:ascii="Calibri" w:hAnsi="Calibri" w:cs="Calibri"/>
                <w:sz w:val="22"/>
                <w:szCs w:val="22"/>
              </w:rPr>
              <w:t>Si</w:t>
            </w:r>
          </w:p>
        </w:tc>
      </w:tr>
      <w:tr w:rsidR="006440AE">
        <w:trPr>
          <w:trHeight w:val="288"/>
        </w:trPr>
        <w:tc>
          <w:tcPr>
            <w:tcW w:w="6458" w:type="dxa"/>
          </w:tcPr>
          <w:p w:rsidR="006440AE" w:rsidRDefault="00F6758F">
            <w:pPr>
              <w:rPr>
                <w:rFonts w:ascii="Calibri" w:hAnsi="Calibri" w:cs="Calibri"/>
                <w:color w:val="000000"/>
                <w:sz w:val="22"/>
                <w:szCs w:val="22"/>
              </w:rPr>
            </w:pPr>
            <w:r>
              <w:rPr>
                <w:rFonts w:ascii="Calibri" w:hAnsi="Calibri" w:cs="Calibri"/>
                <w:color w:val="000000"/>
                <w:sz w:val="22"/>
                <w:szCs w:val="22"/>
              </w:rPr>
              <w:t>Rapporti con portatori di interessi particolari</w:t>
            </w:r>
          </w:p>
        </w:tc>
        <w:tc>
          <w:tcPr>
            <w:tcW w:w="1590" w:type="dxa"/>
          </w:tcPr>
          <w:p w:rsidR="006440AE" w:rsidRDefault="00F6758F">
            <w:pPr>
              <w:jc w:val="center"/>
            </w:pPr>
            <w:r>
              <w:rPr>
                <w:rFonts w:ascii="Calibri" w:hAnsi="Calibri" w:cs="Calibri"/>
                <w:color w:val="000000"/>
                <w:sz w:val="22"/>
                <w:szCs w:val="22"/>
              </w:rPr>
              <w:t>No</w:t>
            </w:r>
          </w:p>
        </w:tc>
        <w:tc>
          <w:tcPr>
            <w:tcW w:w="1582" w:type="dxa"/>
          </w:tcPr>
          <w:p w:rsidR="006440AE" w:rsidRDefault="00F6758F">
            <w:pPr>
              <w:jc w:val="center"/>
            </w:pPr>
            <w:r>
              <w:rPr>
                <w:rFonts w:ascii="Calibri" w:hAnsi="Calibri" w:cs="Calibri"/>
                <w:sz w:val="22"/>
                <w:szCs w:val="22"/>
              </w:rPr>
              <w:t>No</w:t>
            </w:r>
          </w:p>
        </w:tc>
      </w:tr>
    </w:tbl>
    <w:p w:rsidR="006440AE" w:rsidRDefault="006440AE"/>
    <w:p w:rsidR="006440AE" w:rsidRDefault="00F6758F">
      <w:r>
        <w:rPr>
          <w:noProof/>
        </w:rPr>
        <mc:AlternateContent>
          <mc:Choice Requires="wps">
            <w:drawing>
              <wp:anchor distT="0" distB="24765" distL="111125" distR="133985" simplePos="0" relativeHeight="251645440" behindDoc="0" locked="0" layoutInCell="0" allowOverlap="1" wp14:anchorId="2B4B8950" wp14:editId="0BDF8B0C">
                <wp:simplePos x="0" y="0"/>
                <wp:positionH relativeFrom="column">
                  <wp:posOffset>20955</wp:posOffset>
                </wp:positionH>
                <wp:positionV relativeFrom="paragraph">
                  <wp:posOffset>52070</wp:posOffset>
                </wp:positionV>
                <wp:extent cx="6060440" cy="2074545"/>
                <wp:effectExtent l="3175" t="3175" r="3175" b="3175"/>
                <wp:wrapTopAndBottom/>
                <wp:docPr id="1" name="Casella di testo 5"/>
                <wp:cNvGraphicFramePr/>
                <a:graphic xmlns:a="http://schemas.openxmlformats.org/drawingml/2006/main">
                  <a:graphicData uri="http://schemas.microsoft.com/office/word/2010/wordprocessingShape">
                    <wps:wsp>
                      <wps:cNvSpPr/>
                      <wps:spPr>
                        <a:xfrm>
                          <a:off x="0" y="0"/>
                          <a:ext cx="6060600" cy="2074680"/>
                        </a:xfrm>
                        <a:prstGeom prst="rect">
                          <a:avLst/>
                        </a:prstGeom>
                        <a:solidFill>
                          <a:schemeClr val="accent5">
                            <a:lumMod val="20000"/>
                            <a:lumOff val="80000"/>
                          </a:schemeClr>
                        </a:solidFill>
                        <a:ln w="6350">
                          <a:solidFill>
                            <a:srgbClr val="000000"/>
                          </a:solidFill>
                          <a:round/>
                        </a:ln>
                      </wps:spPr>
                      <wps:style>
                        <a:lnRef idx="0">
                          <a:scrgbClr r="0" g="0" b="0"/>
                        </a:lnRef>
                        <a:fillRef idx="0">
                          <a:scrgbClr r="0" g="0" b="0"/>
                        </a:fillRef>
                        <a:effectRef idx="0">
                          <a:scrgbClr r="0" g="0" b="0"/>
                        </a:effectRef>
                        <a:fontRef idx="minor"/>
                      </wps:style>
                      <wps:txbx>
                        <w:txbxContent>
                          <w:p w:rsidR="00F6758F" w:rsidRDefault="00F6758F">
                            <w:pPr>
                              <w:pStyle w:val="Contenutocornice"/>
                              <w:jc w:val="both"/>
                              <w:rPr>
                                <w:color w:val="000000"/>
                              </w:rPr>
                            </w:pPr>
                            <w:r>
                              <w:rPr>
                                <w:color w:val="000000"/>
                              </w:rPr>
                              <w:t>Note del RPCT:</w:t>
                            </w:r>
                          </w:p>
                          <w:p w:rsidR="00F6758F" w:rsidRDefault="00F6758F">
                            <w:pPr>
                              <w:pStyle w:val="Contenutocornice"/>
                              <w:jc w:val="both"/>
                              <w:rPr>
                                <w:color w:val="000000"/>
                              </w:rPr>
                            </w:pPr>
                            <w:r>
                              <w:rPr>
                                <w:color w:val="000000"/>
                              </w:rPr>
                              <w:t>1) Per dipendenti con funzioni dirigenziali, sono stati considerati esclusivamente i dipendenti con incarico di funzione;</w:t>
                            </w:r>
                          </w:p>
                          <w:p w:rsidR="00F6758F" w:rsidRDefault="00F6758F">
                            <w:pPr>
                              <w:pStyle w:val="Contenutocornice"/>
                              <w:jc w:val="both"/>
                              <w:rPr>
                                <w:color w:val="000000"/>
                              </w:rPr>
                            </w:pPr>
                            <w:r>
                              <w:rPr>
                                <w:color w:val="000000"/>
                              </w:rPr>
                              <w:t>2) L’analisi dei rapporti con portatori di interessi particolari è effettuata durante l’analisi dei processi aziendali nell’ambito della gestione del rischio corruzione. Eventuali ulteriori misure specifiche di prevenzione sono previste all’esito del processo di valutazione del rischio. Ad esempio, nel 2024, in seguito ad alcune segnalazioni whistleblowing, è stato analizzato il processo “</w:t>
                            </w:r>
                            <w:r>
                              <w:rPr>
                                <w:i/>
                                <w:iCs/>
                                <w:color w:val="000000"/>
                              </w:rPr>
                              <w:t>APBESE006 - Gestione amministrativa accordi con strutture sanitarie private accreditate</w:t>
                            </w:r>
                            <w:r>
                              <w:rPr>
                                <w:color w:val="000000"/>
                              </w:rPr>
                              <w:t>” e come misura specifica di prevenzione è stata adottata la “</w:t>
                            </w:r>
                            <w:r>
                              <w:rPr>
                                <w:i/>
                                <w:iCs/>
                                <w:color w:val="000000"/>
                              </w:rPr>
                              <w:t>Procedura per l’individuazione e la gestione delle situazioni di incompatibilità e pantouflage nei rapporti con soggetti privati accreditati (PA.STDA.01)</w:t>
                            </w:r>
                            <w:r>
                              <w:rPr>
                                <w:color w:val="000000"/>
                              </w:rPr>
                              <w:t>”.</w:t>
                            </w:r>
                          </w:p>
                        </w:txbxContent>
                      </wps:txbx>
                      <wps:bodyPr anchor="t">
                        <a:prstTxWarp prst="textNoShape">
                          <a:avLst/>
                        </a:prstTxWarp>
                        <a:noAutofit/>
                      </wps:bodyPr>
                    </wps:wsp>
                  </a:graphicData>
                </a:graphic>
              </wp:anchor>
            </w:drawing>
          </mc:Choice>
          <mc:Fallback>
            <w:pict>
              <v:rect w14:anchorId="2B4B8950" id="Casella di testo 5" o:spid="_x0000_s1026" style="position:absolute;margin-left:1.65pt;margin-top:4.1pt;width:477.2pt;height:163.35pt;z-index:251645440;visibility:visible;mso-wrap-style:square;mso-wrap-distance-left:8.75pt;mso-wrap-distance-top:0;mso-wrap-distance-right:10.55pt;mso-wrap-distance-bottom:1.9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" o:allowincell="f" fillcolor="#deeaf6 [664]" strokeweight=".5pt">
                <v:stroke joinstyle="round"/>
                <v:textbox>
                  <w:txbxContent>
                    <w:p w:rsidR="00F6758F" w:rsidRDefault="00F6758F">
                      <w:pPr>
                        <w:pStyle w:val="Contenutocornice"/>
                        <w:jc w:val="both"/>
                        <w:rPr>
                          <w:color w:val="000000"/>
                        </w:rPr>
                      </w:pPr>
                      <w:r>
                        <w:rPr>
                          <w:color w:val="000000"/>
                        </w:rPr>
                        <w:t>Note del RPCT:</w:t>
                      </w:r>
                    </w:p>
                    <w:p w:rsidR="00F6758F" w:rsidRDefault="00F6758F">
                      <w:pPr>
                        <w:pStyle w:val="Contenutocornice"/>
                        <w:jc w:val="both"/>
                        <w:rPr>
                          <w:color w:val="000000"/>
                        </w:rPr>
                      </w:pPr>
                      <w:r>
                        <w:rPr>
                          <w:color w:val="000000"/>
                        </w:rPr>
                        <w:t>1) Per dipendenti con funzioni dirigenziali, sono stati considerati esclusivamente i dipendenti con incarico di funzione;</w:t>
                      </w:r>
                    </w:p>
                    <w:p w:rsidR="00F6758F" w:rsidRDefault="00F6758F">
                      <w:pPr>
                        <w:pStyle w:val="Contenutocornice"/>
                        <w:jc w:val="both"/>
                        <w:rPr>
                          <w:color w:val="000000"/>
                        </w:rPr>
                      </w:pPr>
                      <w:r>
                        <w:rPr>
                          <w:color w:val="000000"/>
                        </w:rPr>
                        <w:t>2) L’analisi dei rapporti con portatori di interessi particolari è effettuata durante l’analisi dei processi aziendali nell’ambito della gestione del rischio corruzione. Eventuali ulteriori misure specifiche di prevenzione sono previste all’esito del processo di valutazione del rischio. Ad esempio, nel 2024, in seguito ad alcune segnalazioni whistleblowing, è stato analizzato il processo “</w:t>
                      </w:r>
                      <w:r>
                        <w:rPr>
                          <w:i/>
                          <w:iCs/>
                          <w:color w:val="000000"/>
                        </w:rPr>
                        <w:t>APBESE006 - Gestione amministrativa accordi con strutture sanitarie private accreditate</w:t>
                      </w:r>
                      <w:r>
                        <w:rPr>
                          <w:color w:val="000000"/>
                        </w:rPr>
                        <w:t>” e come misura specifica di prevenzione è stata adottata la “</w:t>
                      </w:r>
                      <w:r>
                        <w:rPr>
                          <w:i/>
                          <w:iCs/>
                          <w:color w:val="000000"/>
                        </w:rPr>
                        <w:t>Procedura per l’individuazione e la gestione delle situazioni di incompatibilità e pantouflage nei rapporti con soggetti privati accreditati (PA.STDA.01)</w:t>
                      </w:r>
                      <w:r>
                        <w:rPr>
                          <w:color w:val="000000"/>
                        </w:rPr>
                        <w:t>”.</w:t>
                      </w:r>
                    </w:p>
                  </w:txbxContent>
                </v:textbox>
                <w10:wrap type="topAndBottom"/>
              </v:rect>
            </w:pict>
          </mc:Fallback>
        </mc:AlternateContent>
      </w:r>
    </w:p>
    <w:p w:rsidR="006440AE" w:rsidRDefault="00F6758F">
      <w:pPr>
        <w:pStyle w:val="Titolo2"/>
      </w:pPr>
      <w:bookmarkStart w:id="5" w:name="_Toc189121489"/>
      <w:r>
        <w:t>Codice di comportamento</w:t>
      </w:r>
      <w:bookmarkEnd w:id="5"/>
      <w:r>
        <w:t xml:space="preserve"> </w:t>
      </w:r>
    </w:p>
    <w:p w:rsidR="006440AE" w:rsidRDefault="006440AE">
      <w:pPr>
        <w:jc w:val="both"/>
      </w:pPr>
    </w:p>
    <w:p w:rsidR="006440AE" w:rsidRDefault="00F6758F">
      <w:pPr>
        <w:jc w:val="both"/>
      </w:pPr>
      <w:r>
        <w:t>Il codice di comportamento è stato adottato nel 2024 ed è stato aggiornato almeno una volta dopo la sua prima adozione.</w:t>
      </w:r>
    </w:p>
    <w:p w:rsidR="006440AE" w:rsidRDefault="006440AE">
      <w:pPr>
        <w:jc w:val="both"/>
      </w:pPr>
    </w:p>
    <w:p w:rsidR="006440AE" w:rsidRDefault="00F6758F">
      <w:pPr>
        <w:jc w:val="both"/>
      </w:pPr>
      <w:r>
        <w:t>Il codice contiene le seguenti disposizioni ulteriori a quelle del D.P.R. n.62/2013:</w:t>
      </w:r>
    </w:p>
    <w:p w:rsidR="006440AE" w:rsidRDefault="00F6758F">
      <w:pPr>
        <w:numPr>
          <w:ilvl w:val="0"/>
          <w:numId w:val="3"/>
        </w:numPr>
        <w:jc w:val="both"/>
      </w:pPr>
      <w:r>
        <w:t>le caratteristiche specifiche dell’ente;</w:t>
      </w:r>
    </w:p>
    <w:p w:rsidR="006440AE" w:rsidRDefault="00F6758F">
      <w:pPr>
        <w:numPr>
          <w:ilvl w:val="0"/>
          <w:numId w:val="3"/>
        </w:numPr>
        <w:jc w:val="both"/>
      </w:pPr>
      <w:r>
        <w:t>i comportamenti che derivano dal profilo di rischio specifico dell'ente, individuato a seguito della messa in atto del processo di gestione del rischio;</w:t>
      </w:r>
    </w:p>
    <w:p w:rsidR="006440AE" w:rsidRDefault="00F6758F">
      <w:pPr>
        <w:numPr>
          <w:ilvl w:val="0"/>
          <w:numId w:val="3"/>
        </w:numPr>
        <w:jc w:val="both"/>
      </w:pPr>
      <w:r>
        <w:t>contiene previsioni ulteriori suggerite dall'Ufficio Procedimenti Disciplinari.</w:t>
      </w:r>
    </w:p>
    <w:p w:rsidR="006440AE" w:rsidRDefault="006440AE">
      <w:pPr>
        <w:jc w:val="both"/>
      </w:pPr>
    </w:p>
    <w:p w:rsidR="006440AE" w:rsidRDefault="00F6758F">
      <w:pPr>
        <w:jc w:val="both"/>
      </w:pPr>
      <w:r>
        <w:t>Rispetto al totale degli atti di incarico e i contratti, sono stati adeguati alle previsioni del Codice di Comportamento adottato, il 72 % degli atti.</w:t>
      </w:r>
    </w:p>
    <w:p w:rsidR="006440AE" w:rsidRDefault="006440AE">
      <w:pPr>
        <w:jc w:val="both"/>
      </w:pPr>
    </w:p>
    <w:p w:rsidR="006440AE" w:rsidRDefault="00F6758F">
      <w:pPr>
        <w:jc w:val="both"/>
      </w:pPr>
      <w:r>
        <w:t>Sono state adottate misure che garantiscono l'attuazione del Codice di Comportamento tra cui:</w:t>
      </w:r>
    </w:p>
    <w:p w:rsidR="006440AE" w:rsidRDefault="00F6758F">
      <w:pPr>
        <w:numPr>
          <w:ilvl w:val="0"/>
          <w:numId w:val="2"/>
        </w:numPr>
        <w:jc w:val="both"/>
      </w:pPr>
      <w:r>
        <w:t>la formazione e sensibilizzazione sui contenuti del codice;</w:t>
      </w:r>
    </w:p>
    <w:p w:rsidR="006440AE" w:rsidRDefault="00F6758F">
      <w:pPr>
        <w:numPr>
          <w:ilvl w:val="0"/>
          <w:numId w:val="2"/>
        </w:numPr>
        <w:jc w:val="both"/>
      </w:pPr>
      <w:r>
        <w:t>controlli e verifiche sull'attuazione del Codice di Comportamento.</w:t>
      </w:r>
    </w:p>
    <w:p w:rsidR="006440AE" w:rsidRDefault="006440AE">
      <w:pPr>
        <w:jc w:val="both"/>
      </w:pPr>
    </w:p>
    <w:p w:rsidR="006440AE" w:rsidRDefault="00F6758F">
      <w:pPr>
        <w:jc w:val="both"/>
      </w:pPr>
      <w:r>
        <w:t xml:space="preserve">Non è stata approvata/inserita nel Codice di Comportamento una apposita procedura di rilevazione delle situazioni di conflitto di interessi (Cfr. PNA 2019, Parte III, § 1.4, pag. 50 e § 9 della Delibera ANAC n. 177/ 2020), per le seguenti motivazioni: </w:t>
      </w:r>
    </w:p>
    <w:p w:rsidR="006440AE" w:rsidRDefault="00F6758F">
      <w:pPr>
        <w:numPr>
          <w:ilvl w:val="0"/>
          <w:numId w:val="41"/>
        </w:numPr>
        <w:jc w:val="both"/>
      </w:pPr>
      <w:r>
        <w:t>l'Azienda ha adottato un apposito regolamento per la gestione del conflitto di interessi con delibera n.380 del 05/04/2024.</w:t>
      </w:r>
    </w:p>
    <w:p w:rsidR="006440AE" w:rsidRDefault="006440AE">
      <w:pPr>
        <w:jc w:val="both"/>
        <w:rPr>
          <w:iCs/>
        </w:rPr>
      </w:pPr>
    </w:p>
    <w:p w:rsidR="006440AE" w:rsidRDefault="006440AE"/>
    <w:p w:rsidR="006440AE" w:rsidRDefault="006440AE"/>
    <w:p w:rsidR="006440AE" w:rsidRDefault="006440AE"/>
    <w:p w:rsidR="006440AE" w:rsidRDefault="006440AE"/>
    <w:p w:rsidR="006440AE" w:rsidRDefault="006440AE"/>
    <w:p w:rsidR="006440AE" w:rsidRDefault="00F6758F">
      <w:r>
        <w:rPr>
          <w:noProof/>
        </w:rPr>
        <mc:AlternateContent>
          <mc:Choice Requires="wps">
            <w:drawing>
              <wp:anchor distT="1270" distB="22225" distL="111125" distR="133985" simplePos="0" relativeHeight="251646464" behindDoc="0" locked="0" layoutInCell="0" allowOverlap="1" wp14:anchorId="19E5FBB1" wp14:editId="26F56ED9">
                <wp:simplePos x="0" y="0"/>
                <wp:positionH relativeFrom="column">
                  <wp:posOffset>21590</wp:posOffset>
                </wp:positionH>
                <wp:positionV relativeFrom="paragraph">
                  <wp:posOffset>-635635</wp:posOffset>
                </wp:positionV>
                <wp:extent cx="6120130" cy="899795"/>
                <wp:effectExtent l="3175" t="3810" r="3175" b="2540"/>
                <wp:wrapTopAndBottom/>
                <wp:docPr id="2" name="Casella di testo 6"/>
                <wp:cNvGraphicFramePr/>
                <a:graphic xmlns:a="http://schemas.openxmlformats.org/drawingml/2006/main">
                  <a:graphicData uri="http://schemas.microsoft.com/office/word/2010/wordprocessingShape">
                    <wps:wsp>
                      <wps:cNvSpPr/>
                      <wps:spPr>
                        <a:xfrm>
                          <a:off x="0" y="0"/>
                          <a:ext cx="6120000" cy="899640"/>
                        </a:xfrm>
                        <a:prstGeom prst="rect">
                          <a:avLst/>
                        </a:prstGeom>
                        <a:solidFill>
                          <a:schemeClr val="accent5">
                            <a:lumMod val="20000"/>
                            <a:lumOff val="80000"/>
                          </a:schemeClr>
                        </a:solidFill>
                        <a:ln w="6350">
                          <a:solidFill>
                            <a:srgbClr val="000000"/>
                          </a:solidFill>
                          <a:round/>
                        </a:ln>
                      </wps:spPr>
                      <wps:style>
                        <a:lnRef idx="0">
                          <a:scrgbClr r="0" g="0" b="0"/>
                        </a:lnRef>
                        <a:fillRef idx="0">
                          <a:scrgbClr r="0" g="0" b="0"/>
                        </a:fillRef>
                        <a:effectRef idx="0">
                          <a:scrgbClr r="0" g="0" b="0"/>
                        </a:effectRef>
                        <a:fontRef idx="minor"/>
                      </wps:style>
                      <wps:txbx>
                        <w:txbxContent>
                          <w:p w:rsidR="00F6758F" w:rsidRDefault="00F6758F">
                            <w:pPr>
                              <w:pStyle w:val="Contenutocornice"/>
                              <w:jc w:val="both"/>
                              <w:rPr>
                                <w:color w:val="000000"/>
                              </w:rPr>
                            </w:pPr>
                            <w:r>
                              <w:rPr>
                                <w:color w:val="000000"/>
                              </w:rPr>
                              <w:t>Note del RPCT:</w:t>
                            </w:r>
                          </w:p>
                          <w:p w:rsidR="00F6758F" w:rsidRDefault="00F6758F">
                            <w:pPr>
                              <w:pStyle w:val="Contenutocornice"/>
                              <w:jc w:val="both"/>
                              <w:rPr>
                                <w:color w:val="000000"/>
                              </w:rPr>
                            </w:pPr>
                            <w:r>
                              <w:rPr>
                                <w:color w:val="000000"/>
                              </w:rPr>
                              <w:t>1) Dal monitoraggio è emerso un mancato adeguamento alle previsioni del Codice di Comportamento degli atti di incarico a docenti esterni stipulati dalla SOC Formazione. La struttura sta procedendo a risolvere nel più breve tempo possibile le non conformità rilevate.</w:t>
                            </w:r>
                          </w:p>
                        </w:txbxContent>
                      </wps:txbx>
                      <wps:bodyPr anchor="t">
                        <a:prstTxWarp prst="textNoShape">
                          <a:avLst/>
                        </a:prstTxWarp>
                        <a:noAutofit/>
                      </wps:bodyPr>
                    </wps:wsp>
                  </a:graphicData>
                </a:graphic>
              </wp:anchor>
            </w:drawing>
          </mc:Choice>
          <mc:Fallback>
            <w:pict>
              <v:rect w14:anchorId="19E5FBB1" id="Casella di testo 6" o:spid="_x0000_s1027" style="position:absolute;margin-left:1.7pt;margin-top:-50.05pt;width:481.9pt;height:70.85pt;z-index:251646464;visibility:visible;mso-wrap-style:square;mso-wrap-distance-left:8.75pt;mso-wrap-distance-top:.1pt;mso-wrap-distance-right:10.55pt;mso-wrap-distance-bottom:1.7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" o:allowincell="f" fillcolor="#deeaf6 [664]" strokeweight=".5pt">
                <v:stroke joinstyle="round"/>
                <v:textbox>
                  <w:txbxContent>
                    <w:p w:rsidR="00F6758F" w:rsidRDefault="00F6758F">
                      <w:pPr>
                        <w:pStyle w:val="Contenutocornice"/>
                        <w:jc w:val="both"/>
                        <w:rPr>
                          <w:color w:val="000000"/>
                        </w:rPr>
                      </w:pPr>
                      <w:r>
                        <w:rPr>
                          <w:color w:val="000000"/>
                        </w:rPr>
                        <w:t>Note del RPCT:</w:t>
                      </w:r>
                    </w:p>
                    <w:p w:rsidR="00F6758F" w:rsidRDefault="00F6758F">
                      <w:pPr>
                        <w:pStyle w:val="Contenutocornice"/>
                        <w:jc w:val="both"/>
                        <w:rPr>
                          <w:color w:val="000000"/>
                        </w:rPr>
                      </w:pPr>
                      <w:r>
                        <w:rPr>
                          <w:color w:val="000000"/>
                        </w:rPr>
                        <w:t>1) Dal monitoraggio è emerso un mancato adeguamento alle previsioni del Codice di Comportamento degli atti di incarico a docenti esterni stipulati dalla SOC Formazione. La struttura sta procedendo a risolvere nel più breve tempo possibile le non conformità rilevate.</w:t>
                      </w:r>
                    </w:p>
                  </w:txbxContent>
                </v:textbox>
                <w10:wrap type="topAndBottom"/>
              </v:rect>
            </w:pict>
          </mc:Fallback>
        </mc:AlternateContent>
      </w:r>
    </w:p>
    <w:p w:rsidR="006440AE" w:rsidRDefault="00F6758F">
      <w:pPr>
        <w:pStyle w:val="Titolo2"/>
      </w:pPr>
      <w:bookmarkStart w:id="6" w:name="_Toc189121490"/>
      <w:r>
        <w:t>Rotazione del personale</w:t>
      </w:r>
      <w:bookmarkEnd w:id="6"/>
      <w:r>
        <w:t xml:space="preserve"> </w:t>
      </w:r>
    </w:p>
    <w:p w:rsidR="006440AE" w:rsidRDefault="006440AE"/>
    <w:p w:rsidR="006440AE" w:rsidRDefault="00F6758F">
      <w:pPr>
        <w:pStyle w:val="Titolo3"/>
      </w:pPr>
      <w:bookmarkStart w:id="7" w:name="_Toc189121491"/>
      <w:r>
        <w:t>Rotazione Ordinaria</w:t>
      </w:r>
      <w:bookmarkEnd w:id="7"/>
    </w:p>
    <w:p w:rsidR="006440AE" w:rsidRDefault="006440AE"/>
    <w:p w:rsidR="006440AE" w:rsidRDefault="00F6758F">
      <w:pPr>
        <w:jc w:val="both"/>
      </w:pPr>
      <w:r>
        <w:t>La misura Rotazione Ordinaria del personale è stata programmata nel PTPCT o nella sezione Anticorruzione e Trasparenza del PIAO, ed è in corso di redazione un Atto (es. regolamento, direttive, linee guida, etc.) per la sua adozione.</w:t>
      </w:r>
    </w:p>
    <w:p w:rsidR="006440AE" w:rsidRDefault="006440AE">
      <w:pPr>
        <w:rPr>
          <w:u w:val="single"/>
        </w:rPr>
      </w:pPr>
    </w:p>
    <w:p w:rsidR="006440AE" w:rsidRDefault="00F6758F">
      <w:pPr>
        <w:jc w:val="both"/>
        <w:rPr>
          <w:u w:val="single"/>
        </w:rPr>
      </w:pPr>
      <w:r>
        <w:t>L’atto individua almeno i seguenti criteri di rotazione ordinaria del personale:</w:t>
      </w:r>
    </w:p>
    <w:p w:rsidR="006440AE" w:rsidRDefault="00F6758F">
      <w:pPr>
        <w:numPr>
          <w:ilvl w:val="0"/>
          <w:numId w:val="4"/>
        </w:numPr>
        <w:rPr>
          <w:u w:val="single"/>
        </w:rPr>
      </w:pPr>
      <w:r>
        <w:t>uffici sottoposti a rotazione;</w:t>
      </w:r>
    </w:p>
    <w:p w:rsidR="006440AE" w:rsidRDefault="00F6758F">
      <w:pPr>
        <w:numPr>
          <w:ilvl w:val="0"/>
          <w:numId w:val="4"/>
        </w:numPr>
        <w:rPr>
          <w:u w:val="single"/>
        </w:rPr>
      </w:pPr>
      <w:r>
        <w:t>periodicità della rotazione;</w:t>
      </w:r>
    </w:p>
    <w:p w:rsidR="006440AE" w:rsidRDefault="00F6758F">
      <w:pPr>
        <w:numPr>
          <w:ilvl w:val="0"/>
          <w:numId w:val="4"/>
        </w:numPr>
        <w:rPr>
          <w:u w:val="single"/>
        </w:rPr>
      </w:pPr>
      <w:r>
        <w:t>caratteristiche della rotazione.</w:t>
      </w:r>
    </w:p>
    <w:p w:rsidR="006440AE" w:rsidRDefault="006440AE">
      <w:pPr>
        <w:jc w:val="both"/>
        <w:rPr>
          <w:u w:val="single"/>
        </w:rPr>
      </w:pPr>
    </w:p>
    <w:p w:rsidR="006440AE" w:rsidRDefault="00F6758F">
      <w:pPr>
        <w:jc w:val="both"/>
        <w:rPr>
          <w:u w:val="single"/>
        </w:rPr>
      </w:pPr>
      <w:r>
        <w:t>La Rotazione Ordinaria del personale è stata realizzata nell'anno di riferimento del PTPCT o della sezione Anticorruzione e Trasparenza del PIAO in esame e sono state sottoposte a rotazione le seguenti unità di personale:</w:t>
      </w:r>
    </w:p>
    <w:p w:rsidR="006440AE" w:rsidRDefault="00F6758F">
      <w:pPr>
        <w:numPr>
          <w:ilvl w:val="0"/>
          <w:numId w:val="5"/>
        </w:numPr>
        <w:rPr>
          <w:u w:val="single"/>
        </w:rPr>
      </w:pPr>
      <w:r>
        <w:t>119 dirigenti;</w:t>
      </w:r>
    </w:p>
    <w:p w:rsidR="006440AE" w:rsidRDefault="00F6758F">
      <w:pPr>
        <w:numPr>
          <w:ilvl w:val="0"/>
          <w:numId w:val="5"/>
        </w:numPr>
        <w:rPr>
          <w:u w:val="single"/>
        </w:rPr>
      </w:pPr>
      <w:r>
        <w:t>0 non dirigenti.</w:t>
      </w:r>
    </w:p>
    <w:p w:rsidR="006440AE" w:rsidRDefault="006440AE">
      <w:pPr>
        <w:rPr>
          <w:u w:val="single"/>
        </w:rPr>
      </w:pPr>
    </w:p>
    <w:p w:rsidR="006440AE" w:rsidRDefault="00F6758F">
      <w:pPr>
        <w:jc w:val="both"/>
        <w:rPr>
          <w:u w:val="single"/>
        </w:rPr>
      </w:pPr>
      <w:r>
        <w:t>Il personale che è stato oggetto di rotazione, mediamente, ricopriva la posizione da cui è stato spostato:</w:t>
      </w:r>
    </w:p>
    <w:p w:rsidR="006440AE" w:rsidRDefault="00F6758F">
      <w:pPr>
        <w:numPr>
          <w:ilvl w:val="0"/>
          <w:numId w:val="6"/>
        </w:numPr>
        <w:rPr>
          <w:u w:val="single"/>
        </w:rPr>
      </w:pPr>
      <w:r>
        <w:t>con riferimento al personale dirigente fino a 3 anni.</w:t>
      </w:r>
    </w:p>
    <w:p w:rsidR="006440AE" w:rsidRDefault="006440AE">
      <w:pPr>
        <w:rPr>
          <w:u w:val="single"/>
        </w:rPr>
      </w:pPr>
    </w:p>
    <w:p w:rsidR="006440AE" w:rsidRDefault="00F6758F">
      <w:pPr>
        <w:jc w:val="both"/>
      </w:pPr>
      <w:r>
        <w:t>Di seguito l’elenco delle aree di rischio in cui ricadono i processi che coinvolgevano il personale oggetto di rotazione ordinaria con il relativo livello di esposizione al rischio:</w:t>
      </w:r>
    </w:p>
    <w:p w:rsidR="006440AE" w:rsidRDefault="00F6758F">
      <w:pPr>
        <w:numPr>
          <w:ilvl w:val="0"/>
          <w:numId w:val="7"/>
        </w:numPr>
        <w:jc w:val="both"/>
      </w:pPr>
      <w:r>
        <w:t>B. Provvedimenti ampliativi della sfera giuridica senza effetto economico diretto ed immediato: Media esposizione al rischio corruttivo;</w:t>
      </w:r>
    </w:p>
    <w:p w:rsidR="006440AE" w:rsidRDefault="00F6758F">
      <w:pPr>
        <w:numPr>
          <w:ilvl w:val="0"/>
          <w:numId w:val="7"/>
        </w:numPr>
        <w:jc w:val="both"/>
      </w:pPr>
      <w:r>
        <w:t>C. Provvedimenti ampliativi della sfera giuridica con effetto economico diretto ed immediato: Media esposizione al rischio corruttivo;</w:t>
      </w:r>
    </w:p>
    <w:p w:rsidR="006440AE" w:rsidRDefault="00F6758F">
      <w:pPr>
        <w:numPr>
          <w:ilvl w:val="0"/>
          <w:numId w:val="7"/>
        </w:numPr>
        <w:jc w:val="both"/>
      </w:pPr>
      <w:r>
        <w:t>D.3. Contratti pubblici - Selezione del contraente: Media esposizione al rischio corruttivo;</w:t>
      </w:r>
    </w:p>
    <w:p w:rsidR="006440AE" w:rsidRDefault="00F6758F">
      <w:pPr>
        <w:numPr>
          <w:ilvl w:val="0"/>
          <w:numId w:val="7"/>
        </w:numPr>
        <w:jc w:val="both"/>
      </w:pPr>
      <w:r>
        <w:t>D.5. Contratti pubblici - Esecuzione: Bassa esposizione al rischio corruttivo;</w:t>
      </w:r>
    </w:p>
    <w:p w:rsidR="006440AE" w:rsidRDefault="00F6758F">
      <w:pPr>
        <w:numPr>
          <w:ilvl w:val="0"/>
          <w:numId w:val="7"/>
        </w:numPr>
        <w:jc w:val="both"/>
      </w:pPr>
      <w:r>
        <w:t>E. Incarichi e nomine: Media esposizione al rischio corruttivo;</w:t>
      </w:r>
    </w:p>
    <w:p w:rsidR="006440AE" w:rsidRDefault="00F6758F">
      <w:pPr>
        <w:numPr>
          <w:ilvl w:val="0"/>
          <w:numId w:val="7"/>
        </w:numPr>
        <w:jc w:val="both"/>
      </w:pPr>
      <w:r>
        <w:t>F. Gestione delle entrate, delle spese e del patrimonio: Bassa esposizione al rischio corruttivo;</w:t>
      </w:r>
    </w:p>
    <w:p w:rsidR="006440AE" w:rsidRDefault="00F6758F">
      <w:pPr>
        <w:numPr>
          <w:ilvl w:val="0"/>
          <w:numId w:val="7"/>
        </w:numPr>
        <w:jc w:val="both"/>
      </w:pPr>
      <w:r>
        <w:t>G. Controlli, verifiche, ispezioni e sanzioni: Media esposizione al rischio corruttivo;</w:t>
      </w:r>
    </w:p>
    <w:p w:rsidR="006440AE" w:rsidRDefault="00F6758F">
      <w:pPr>
        <w:numPr>
          <w:ilvl w:val="0"/>
          <w:numId w:val="7"/>
        </w:numPr>
        <w:jc w:val="both"/>
      </w:pPr>
      <w:r>
        <w:t>O.1. Attività amministrative non riconducibili ad altre aree di rischio: Elevata esposizione al rischio corruttivo;</w:t>
      </w:r>
    </w:p>
    <w:p w:rsidR="006440AE" w:rsidRDefault="00F6758F">
      <w:pPr>
        <w:numPr>
          <w:ilvl w:val="0"/>
          <w:numId w:val="7"/>
        </w:numPr>
        <w:jc w:val="both"/>
      </w:pPr>
      <w:r>
        <w:t>O.2. Attività sanitarie non riconducibili ad altre aree di rischio: Media esposizione al rischio corruttivo;</w:t>
      </w:r>
    </w:p>
    <w:p w:rsidR="006440AE" w:rsidRDefault="00F6758F">
      <w:pPr>
        <w:numPr>
          <w:ilvl w:val="0"/>
          <w:numId w:val="7"/>
        </w:numPr>
        <w:jc w:val="both"/>
      </w:pPr>
      <w:r>
        <w:t>P. Rapporti con soggetti erogatori - Accordi/Contratti di attività: Media esposizione al rischio corruttivo;</w:t>
      </w:r>
    </w:p>
    <w:p w:rsidR="006440AE" w:rsidRDefault="00F6758F">
      <w:pPr>
        <w:numPr>
          <w:ilvl w:val="0"/>
          <w:numId w:val="7"/>
        </w:numPr>
        <w:jc w:val="both"/>
      </w:pPr>
      <w:r>
        <w:t>S. Farmaceutica, dispositivi e altre tecnologie - Sperimentazioni cliniche: Media esposizione al rischio corruttivo.</w:t>
      </w:r>
    </w:p>
    <w:p w:rsidR="006440AE" w:rsidRDefault="006440AE">
      <w:pPr>
        <w:jc w:val="both"/>
        <w:rPr>
          <w:u w:val="single"/>
        </w:rPr>
      </w:pPr>
    </w:p>
    <w:p w:rsidR="006440AE" w:rsidRDefault="00F6758F">
      <w:pPr>
        <w:jc w:val="both"/>
        <w:rPr>
          <w:u w:val="single"/>
        </w:rPr>
      </w:pPr>
      <w:r>
        <w:t>Nell'anno di riferimento del PTPCT o della sezione Anticorruzione e Trasparenza del PIAO in esame, l’amministrazione è stata interessata da un processo di riorganizzazione.</w:t>
      </w:r>
    </w:p>
    <w:p w:rsidR="006440AE" w:rsidRDefault="006440AE"/>
    <w:p w:rsidR="006440AE" w:rsidRDefault="006440AE"/>
    <w:p w:rsidR="006440AE" w:rsidRDefault="006440AE"/>
    <w:p w:rsidR="006440AE" w:rsidRDefault="00F6758F">
      <w:pPr>
        <w:pStyle w:val="Titolo3"/>
      </w:pPr>
      <w:bookmarkStart w:id="8" w:name="_Toc189121492"/>
      <w:r>
        <w:t>Rotazione Straordinaria</w:t>
      </w:r>
      <w:bookmarkEnd w:id="8"/>
    </w:p>
    <w:p w:rsidR="006440AE" w:rsidRDefault="006440AE"/>
    <w:p w:rsidR="006440AE" w:rsidRDefault="00F6758F">
      <w:pPr>
        <w:jc w:val="both"/>
      </w:pPr>
      <w:r>
        <w:t>Nel PTPCT, nella sezione Anticorruzione e Trasparenza del PIAO o in altro Atto (es. regolamento, direttive, linee guida, etc.) l’amministrazione ha fornito indicazioni in merito alle modalità organizzative più idonee a garantire la tempestiva adozione della Rotazione Straordinaria del personale nei casi di avvio di procedimenti penali o disciplinari per le condotte di natura corruttiva.</w:t>
      </w:r>
    </w:p>
    <w:p w:rsidR="006440AE" w:rsidRDefault="00F6758F">
      <w:pPr>
        <w:jc w:val="both"/>
      </w:pPr>
      <w:r>
        <w:t>La Rotazione Straordinaria non si è resa necessaria in assenza dei necessari presupposti.</w:t>
      </w:r>
    </w:p>
    <w:p w:rsidR="006440AE" w:rsidRDefault="006440AE"/>
    <w:p w:rsidR="006440AE" w:rsidRDefault="00F6758F">
      <w:pPr>
        <w:pStyle w:val="Titolo3"/>
      </w:pPr>
      <w:bookmarkStart w:id="9" w:name="_Toc189121493"/>
      <w:r>
        <w:t>Trasferimento d’ufficio</w:t>
      </w:r>
      <w:bookmarkEnd w:id="9"/>
    </w:p>
    <w:p w:rsidR="006440AE" w:rsidRDefault="00F6758F">
      <w:pPr>
        <w:jc w:val="both"/>
      </w:pPr>
      <w:r>
        <w:rPr>
          <w:noProof/>
        </w:rPr>
        <mc:AlternateContent>
          <mc:Choice Requires="wps">
            <w:drawing>
              <wp:anchor distT="0" distB="19685" distL="107315" distR="131445" simplePos="0" relativeHeight="251647488" behindDoc="0" locked="0" layoutInCell="0" allowOverlap="1" wp14:anchorId="30AA417E" wp14:editId="0E9F3D44">
                <wp:simplePos x="0" y="0"/>
                <wp:positionH relativeFrom="column">
                  <wp:posOffset>-3810</wp:posOffset>
                </wp:positionH>
                <wp:positionV relativeFrom="paragraph">
                  <wp:posOffset>561975</wp:posOffset>
                </wp:positionV>
                <wp:extent cx="6119495" cy="6804660"/>
                <wp:effectExtent l="3810" t="3175" r="2540" b="3175"/>
                <wp:wrapTopAndBottom/>
                <wp:docPr id="3" name="Casella di testo 7"/>
                <wp:cNvGraphicFramePr/>
                <a:graphic xmlns:a="http://schemas.openxmlformats.org/drawingml/2006/main">
                  <a:graphicData uri="http://schemas.microsoft.com/office/word/2010/wordprocessingShape">
                    <wps:wsp>
                      <wps:cNvSpPr/>
                      <wps:spPr>
                        <a:xfrm>
                          <a:off x="0" y="0"/>
                          <a:ext cx="6119640" cy="6804720"/>
                        </a:xfrm>
                        <a:prstGeom prst="rect">
                          <a:avLst/>
                        </a:prstGeom>
                        <a:solidFill>
                          <a:schemeClr val="accent5">
                            <a:lumMod val="20000"/>
                            <a:lumOff val="80000"/>
                          </a:schemeClr>
                        </a:solidFill>
                        <a:ln w="6350">
                          <a:solidFill>
                            <a:srgbClr val="000000"/>
                          </a:solidFill>
                          <a:round/>
                        </a:ln>
                      </wps:spPr>
                      <wps:style>
                        <a:lnRef idx="0">
                          <a:scrgbClr r="0" g="0" b="0"/>
                        </a:lnRef>
                        <a:fillRef idx="0">
                          <a:scrgbClr r="0" g="0" b="0"/>
                        </a:fillRef>
                        <a:effectRef idx="0">
                          <a:scrgbClr r="0" g="0" b="0"/>
                        </a:effectRef>
                        <a:fontRef idx="minor"/>
                      </wps:style>
                      <wps:txbx>
                        <w:txbxContent>
                          <w:p w:rsidR="00F6758F" w:rsidRDefault="00F6758F">
                            <w:pPr>
                              <w:pStyle w:val="Contenutocornice"/>
                              <w:jc w:val="both"/>
                              <w:rPr>
                                <w:sz w:val="22"/>
                                <w:szCs w:val="22"/>
                              </w:rPr>
                            </w:pPr>
                            <w:r>
                              <w:rPr>
                                <w:color w:val="000000"/>
                                <w:sz w:val="22"/>
                                <w:szCs w:val="22"/>
                              </w:rPr>
                              <w:t>Note del RPCT:</w:t>
                            </w:r>
                          </w:p>
                          <w:p w:rsidR="00F6758F" w:rsidRDefault="00F6758F">
                            <w:pPr>
                              <w:pStyle w:val="Contenutocornice"/>
                              <w:jc w:val="both"/>
                              <w:rPr>
                                <w:sz w:val="22"/>
                                <w:szCs w:val="22"/>
                              </w:rPr>
                            </w:pPr>
                            <w:r>
                              <w:rPr>
                                <w:color w:val="000000"/>
                                <w:sz w:val="22"/>
                                <w:szCs w:val="22"/>
                              </w:rPr>
                              <w:t>1) L’Azienda, nel corso dell’anno 2024, ha riprogettato settori significativi del proprio assetto organizzativo nell’ottica di implementare ulteriormente una rete integrata di servizi sanitari di prevenzione, cura e riabilitazione ed una rete di servizi socio-sanitari in ambito ospedaliero, ambulatoriale e domiciliare, anche in applicazione di quanto previsto dalle indicazioni nazionali (D.M. 77/2022) e regionali (DGRT n.1508/2022, DGRT n.1425/2022, DPGR 14950/2022, DPGR  24489/2022, ecc.).</w:t>
                            </w:r>
                          </w:p>
                          <w:p w:rsidR="00F6758F" w:rsidRDefault="00F6758F">
                            <w:pPr>
                              <w:pStyle w:val="Contenutocornice"/>
                              <w:jc w:val="both"/>
                              <w:rPr>
                                <w:sz w:val="22"/>
                                <w:szCs w:val="22"/>
                              </w:rPr>
                            </w:pPr>
                            <w:r>
                              <w:rPr>
                                <w:color w:val="000000"/>
                                <w:sz w:val="22"/>
                                <w:szCs w:val="22"/>
                              </w:rPr>
                              <w:t>A tal fine, sulla base della programmazione aziendale, sono state modificate intere aggregazioni dipartimentali ridefinendone le funzioni operative, svolte attraverso le strutture organizzative ad esse assegnate, le risorse e i macro obiettivi.</w:t>
                            </w:r>
                          </w:p>
                          <w:p w:rsidR="00F6758F" w:rsidRDefault="00F6758F">
                            <w:pPr>
                              <w:pStyle w:val="Contenutocornice"/>
                              <w:jc w:val="both"/>
                              <w:rPr>
                                <w:sz w:val="22"/>
                                <w:szCs w:val="22"/>
                              </w:rPr>
                            </w:pPr>
                            <w:r>
                              <w:rPr>
                                <w:color w:val="000000"/>
                                <w:sz w:val="22"/>
                                <w:szCs w:val="22"/>
                              </w:rPr>
                              <w:t xml:space="preserve">Il processo di riorganizzazione ha interessato, in particolare, le seguenti strutture aziendali determinando, tra l’altro, la rotazione o la modifica di incarichi dirigenziali precedentemente assegnati:  </w:t>
                            </w:r>
                          </w:p>
                          <w:p w:rsidR="00F6758F" w:rsidRDefault="00F6758F">
                            <w:pPr>
                              <w:pStyle w:val="Contenutocornice"/>
                              <w:numPr>
                                <w:ilvl w:val="0"/>
                                <w:numId w:val="42"/>
                              </w:numPr>
                              <w:jc w:val="both"/>
                              <w:rPr>
                                <w:sz w:val="22"/>
                                <w:szCs w:val="22"/>
                              </w:rPr>
                            </w:pPr>
                            <w:r>
                              <w:rPr>
                                <w:color w:val="000000"/>
                                <w:sz w:val="22"/>
                                <w:szCs w:val="22"/>
                              </w:rPr>
                              <w:t>Staff della Direzione Generale;</w:t>
                            </w:r>
                          </w:p>
                          <w:p w:rsidR="00F6758F" w:rsidRDefault="00F6758F">
                            <w:pPr>
                              <w:pStyle w:val="Contenutocornice"/>
                              <w:numPr>
                                <w:ilvl w:val="0"/>
                                <w:numId w:val="42"/>
                              </w:numPr>
                              <w:jc w:val="both"/>
                              <w:rPr>
                                <w:sz w:val="22"/>
                                <w:szCs w:val="22"/>
                              </w:rPr>
                            </w:pPr>
                            <w:r>
                              <w:rPr>
                                <w:color w:val="000000"/>
                                <w:sz w:val="22"/>
                                <w:szCs w:val="22"/>
                              </w:rPr>
                              <w:t>Staff della Direzione Sanitaria;</w:t>
                            </w:r>
                          </w:p>
                          <w:p w:rsidR="00F6758F" w:rsidRDefault="00F6758F">
                            <w:pPr>
                              <w:pStyle w:val="Contenutocornice"/>
                              <w:numPr>
                                <w:ilvl w:val="0"/>
                                <w:numId w:val="42"/>
                              </w:numPr>
                              <w:jc w:val="both"/>
                              <w:rPr>
                                <w:sz w:val="22"/>
                                <w:szCs w:val="22"/>
                              </w:rPr>
                            </w:pPr>
                            <w:r>
                              <w:rPr>
                                <w:color w:val="000000"/>
                                <w:sz w:val="22"/>
                                <w:szCs w:val="22"/>
                              </w:rPr>
                              <w:t>Staff della Direzione Amministrativa;</w:t>
                            </w:r>
                          </w:p>
                          <w:p w:rsidR="00F6758F" w:rsidRDefault="00F6758F">
                            <w:pPr>
                              <w:pStyle w:val="Contenutocornice"/>
                              <w:numPr>
                                <w:ilvl w:val="0"/>
                                <w:numId w:val="42"/>
                              </w:numPr>
                              <w:jc w:val="both"/>
                              <w:rPr>
                                <w:sz w:val="22"/>
                                <w:szCs w:val="22"/>
                              </w:rPr>
                            </w:pPr>
                            <w:r>
                              <w:rPr>
                                <w:color w:val="000000"/>
                                <w:sz w:val="22"/>
                                <w:szCs w:val="22"/>
                              </w:rPr>
                              <w:t>Dipartimento di Medicina Multidimensionale;</w:t>
                            </w:r>
                          </w:p>
                          <w:p w:rsidR="00F6758F" w:rsidRDefault="00F6758F">
                            <w:pPr>
                              <w:pStyle w:val="Contenutocornice"/>
                              <w:numPr>
                                <w:ilvl w:val="0"/>
                                <w:numId w:val="42"/>
                              </w:numPr>
                              <w:jc w:val="both"/>
                              <w:rPr>
                                <w:sz w:val="22"/>
                                <w:szCs w:val="22"/>
                              </w:rPr>
                            </w:pPr>
                            <w:r>
                              <w:rPr>
                                <w:color w:val="000000"/>
                                <w:sz w:val="22"/>
                                <w:szCs w:val="22"/>
                              </w:rPr>
                              <w:t>Dipartimento delle Specialistiche Mediche;</w:t>
                            </w:r>
                          </w:p>
                          <w:p w:rsidR="00F6758F" w:rsidRDefault="00F6758F">
                            <w:pPr>
                              <w:pStyle w:val="Contenutocornice"/>
                              <w:numPr>
                                <w:ilvl w:val="0"/>
                                <w:numId w:val="42"/>
                              </w:numPr>
                              <w:jc w:val="both"/>
                              <w:rPr>
                                <w:sz w:val="22"/>
                                <w:szCs w:val="22"/>
                              </w:rPr>
                            </w:pPr>
                            <w:r>
                              <w:rPr>
                                <w:color w:val="000000"/>
                                <w:sz w:val="22"/>
                                <w:szCs w:val="22"/>
                              </w:rPr>
                              <w:t>Dipartimento delle Specialistiche Chirurgiche;</w:t>
                            </w:r>
                          </w:p>
                          <w:p w:rsidR="00F6758F" w:rsidRDefault="00F6758F">
                            <w:pPr>
                              <w:pStyle w:val="Contenutocornice"/>
                              <w:numPr>
                                <w:ilvl w:val="0"/>
                                <w:numId w:val="42"/>
                              </w:numPr>
                              <w:jc w:val="both"/>
                              <w:rPr>
                                <w:sz w:val="22"/>
                                <w:szCs w:val="22"/>
                              </w:rPr>
                            </w:pPr>
                            <w:r>
                              <w:rPr>
                                <w:color w:val="000000"/>
                                <w:sz w:val="22"/>
                                <w:szCs w:val="22"/>
                              </w:rPr>
                              <w:t>Dipartimento Emergenza e Area critica;</w:t>
                            </w:r>
                          </w:p>
                          <w:p w:rsidR="00F6758F" w:rsidRDefault="00F6758F">
                            <w:pPr>
                              <w:pStyle w:val="Contenutocornice"/>
                              <w:numPr>
                                <w:ilvl w:val="0"/>
                                <w:numId w:val="42"/>
                              </w:numPr>
                              <w:jc w:val="both"/>
                              <w:rPr>
                                <w:sz w:val="22"/>
                                <w:szCs w:val="22"/>
                              </w:rPr>
                            </w:pPr>
                            <w:r>
                              <w:rPr>
                                <w:color w:val="000000"/>
                                <w:sz w:val="22"/>
                                <w:szCs w:val="22"/>
                              </w:rPr>
                              <w:t>Dipartimento Oncologico;</w:t>
                            </w:r>
                          </w:p>
                          <w:p w:rsidR="00F6758F" w:rsidRDefault="00F6758F">
                            <w:pPr>
                              <w:pStyle w:val="Contenutocornice"/>
                              <w:numPr>
                                <w:ilvl w:val="0"/>
                                <w:numId w:val="42"/>
                              </w:numPr>
                              <w:jc w:val="both"/>
                              <w:rPr>
                                <w:sz w:val="22"/>
                                <w:szCs w:val="22"/>
                              </w:rPr>
                            </w:pPr>
                            <w:r>
                              <w:rPr>
                                <w:color w:val="000000"/>
                                <w:sz w:val="22"/>
                                <w:szCs w:val="22"/>
                              </w:rPr>
                              <w:t>Dipartimento Materno Infantile;</w:t>
                            </w:r>
                          </w:p>
                          <w:p w:rsidR="00F6758F" w:rsidRDefault="00F6758F">
                            <w:pPr>
                              <w:pStyle w:val="Contenutocornice"/>
                              <w:numPr>
                                <w:ilvl w:val="0"/>
                                <w:numId w:val="42"/>
                              </w:numPr>
                              <w:jc w:val="both"/>
                              <w:rPr>
                                <w:sz w:val="22"/>
                                <w:szCs w:val="22"/>
                              </w:rPr>
                            </w:pPr>
                            <w:r>
                              <w:rPr>
                                <w:color w:val="000000"/>
                                <w:sz w:val="22"/>
                                <w:szCs w:val="22"/>
                              </w:rPr>
                              <w:t>Dipartimento dei Servizi Sociali;</w:t>
                            </w:r>
                          </w:p>
                          <w:p w:rsidR="00F6758F" w:rsidRDefault="00F6758F">
                            <w:pPr>
                              <w:pStyle w:val="Contenutocornice"/>
                              <w:numPr>
                                <w:ilvl w:val="0"/>
                                <w:numId w:val="42"/>
                              </w:numPr>
                              <w:jc w:val="both"/>
                              <w:rPr>
                                <w:sz w:val="22"/>
                                <w:szCs w:val="22"/>
                              </w:rPr>
                            </w:pPr>
                            <w:r>
                              <w:rPr>
                                <w:color w:val="000000"/>
                                <w:sz w:val="22"/>
                                <w:szCs w:val="22"/>
                              </w:rPr>
                              <w:t>Dipartimento di Medicina Multidimensionale;</w:t>
                            </w:r>
                          </w:p>
                          <w:p w:rsidR="00F6758F" w:rsidRDefault="00F6758F">
                            <w:pPr>
                              <w:pStyle w:val="Contenutocornice"/>
                              <w:numPr>
                                <w:ilvl w:val="0"/>
                                <w:numId w:val="42"/>
                              </w:numPr>
                              <w:jc w:val="both"/>
                              <w:rPr>
                                <w:sz w:val="22"/>
                                <w:szCs w:val="22"/>
                              </w:rPr>
                            </w:pPr>
                            <w:r>
                              <w:rPr>
                                <w:color w:val="000000"/>
                                <w:sz w:val="22"/>
                                <w:szCs w:val="22"/>
                              </w:rPr>
                              <w:t>Dipartimento di Medicina fisica e riabilitazione;</w:t>
                            </w:r>
                          </w:p>
                          <w:p w:rsidR="00F6758F" w:rsidRDefault="00F6758F">
                            <w:pPr>
                              <w:pStyle w:val="Contenutocornice"/>
                              <w:numPr>
                                <w:ilvl w:val="0"/>
                                <w:numId w:val="42"/>
                              </w:numPr>
                              <w:jc w:val="both"/>
                              <w:rPr>
                                <w:sz w:val="22"/>
                                <w:szCs w:val="22"/>
                              </w:rPr>
                            </w:pPr>
                            <w:r>
                              <w:rPr>
                                <w:color w:val="000000"/>
                                <w:sz w:val="22"/>
                                <w:szCs w:val="22"/>
                              </w:rPr>
                              <w:t>Dipartimento Salute Mentale e Dipendenze;</w:t>
                            </w:r>
                          </w:p>
                          <w:p w:rsidR="00F6758F" w:rsidRDefault="00F6758F">
                            <w:pPr>
                              <w:pStyle w:val="Contenutocornice"/>
                              <w:numPr>
                                <w:ilvl w:val="0"/>
                                <w:numId w:val="42"/>
                              </w:numPr>
                              <w:jc w:val="both"/>
                              <w:rPr>
                                <w:sz w:val="22"/>
                                <w:szCs w:val="22"/>
                              </w:rPr>
                            </w:pPr>
                            <w:r>
                              <w:rPr>
                                <w:color w:val="000000"/>
                                <w:sz w:val="22"/>
                                <w:szCs w:val="22"/>
                              </w:rPr>
                              <w:t>Dipartimento del Farmaco;</w:t>
                            </w:r>
                          </w:p>
                          <w:p w:rsidR="00F6758F" w:rsidRDefault="00F6758F">
                            <w:pPr>
                              <w:pStyle w:val="Contenutocornice"/>
                              <w:numPr>
                                <w:ilvl w:val="0"/>
                                <w:numId w:val="42"/>
                              </w:numPr>
                              <w:jc w:val="both"/>
                              <w:rPr>
                                <w:sz w:val="22"/>
                                <w:szCs w:val="22"/>
                              </w:rPr>
                            </w:pPr>
                            <w:r>
                              <w:rPr>
                                <w:color w:val="000000"/>
                                <w:sz w:val="22"/>
                                <w:szCs w:val="22"/>
                              </w:rPr>
                              <w:t>Dipartimento Rete Sanitaria Territoriale;</w:t>
                            </w:r>
                          </w:p>
                          <w:p w:rsidR="00F6758F" w:rsidRDefault="00F6758F">
                            <w:pPr>
                              <w:pStyle w:val="Contenutocornice"/>
                              <w:numPr>
                                <w:ilvl w:val="0"/>
                                <w:numId w:val="42"/>
                              </w:numPr>
                              <w:jc w:val="both"/>
                              <w:rPr>
                                <w:sz w:val="22"/>
                                <w:szCs w:val="22"/>
                              </w:rPr>
                            </w:pPr>
                            <w:r>
                              <w:rPr>
                                <w:color w:val="000000"/>
                                <w:sz w:val="22"/>
                                <w:szCs w:val="22"/>
                              </w:rPr>
                              <w:t>Dipartimento Assistenza infermieristica e ostetrica;</w:t>
                            </w:r>
                          </w:p>
                          <w:p w:rsidR="00F6758F" w:rsidRDefault="00F6758F">
                            <w:pPr>
                              <w:pStyle w:val="Contenutocornice"/>
                              <w:numPr>
                                <w:ilvl w:val="0"/>
                                <w:numId w:val="42"/>
                              </w:numPr>
                              <w:jc w:val="both"/>
                              <w:rPr>
                                <w:sz w:val="22"/>
                                <w:szCs w:val="22"/>
                              </w:rPr>
                            </w:pPr>
                            <w:r>
                              <w:rPr>
                                <w:color w:val="000000"/>
                                <w:sz w:val="22"/>
                                <w:szCs w:val="22"/>
                              </w:rPr>
                              <w:t>Dipartimento Risorse Umane;</w:t>
                            </w:r>
                          </w:p>
                          <w:p w:rsidR="00F6758F" w:rsidRDefault="00F6758F">
                            <w:pPr>
                              <w:pStyle w:val="Contenutocornice"/>
                              <w:numPr>
                                <w:ilvl w:val="0"/>
                                <w:numId w:val="42"/>
                              </w:numPr>
                              <w:jc w:val="both"/>
                              <w:rPr>
                                <w:sz w:val="22"/>
                                <w:szCs w:val="22"/>
                              </w:rPr>
                            </w:pPr>
                            <w:r>
                              <w:rPr>
                                <w:color w:val="000000"/>
                                <w:sz w:val="22"/>
                                <w:szCs w:val="22"/>
                              </w:rPr>
                              <w:t>Dipartimento Amministrazione, pianificazione e controllo di gestione;</w:t>
                            </w:r>
                          </w:p>
                          <w:p w:rsidR="00F6758F" w:rsidRDefault="00F6758F">
                            <w:pPr>
                              <w:pStyle w:val="Contenutocornice"/>
                              <w:numPr>
                                <w:ilvl w:val="0"/>
                                <w:numId w:val="42"/>
                              </w:numPr>
                              <w:jc w:val="both"/>
                              <w:rPr>
                                <w:sz w:val="22"/>
                                <w:szCs w:val="22"/>
                              </w:rPr>
                            </w:pPr>
                            <w:r>
                              <w:rPr>
                                <w:color w:val="000000"/>
                                <w:sz w:val="22"/>
                                <w:szCs w:val="22"/>
                              </w:rPr>
                              <w:t>Dipartimento Approvvigionamento Prestazioni Beni e Servizi;</w:t>
                            </w:r>
                          </w:p>
                          <w:p w:rsidR="00F6758F" w:rsidRDefault="00F6758F">
                            <w:pPr>
                              <w:pStyle w:val="Contenutocornice"/>
                              <w:numPr>
                                <w:ilvl w:val="0"/>
                                <w:numId w:val="42"/>
                              </w:numPr>
                              <w:jc w:val="both"/>
                              <w:rPr>
                                <w:sz w:val="22"/>
                                <w:szCs w:val="22"/>
                              </w:rPr>
                            </w:pPr>
                            <w:r>
                              <w:rPr>
                                <w:color w:val="000000"/>
                                <w:sz w:val="22"/>
                                <w:szCs w:val="22"/>
                              </w:rPr>
                              <w:t>Dipartimento Servizi Amministrativi Ospedale Territorio;</w:t>
                            </w:r>
                          </w:p>
                          <w:p w:rsidR="00F6758F" w:rsidRDefault="00F6758F">
                            <w:pPr>
                              <w:pStyle w:val="Contenutocornice"/>
                              <w:numPr>
                                <w:ilvl w:val="0"/>
                                <w:numId w:val="42"/>
                              </w:numPr>
                              <w:jc w:val="both"/>
                              <w:rPr>
                                <w:sz w:val="22"/>
                                <w:szCs w:val="22"/>
                              </w:rPr>
                            </w:pPr>
                            <w:r>
                              <w:rPr>
                                <w:color w:val="000000"/>
                                <w:sz w:val="22"/>
                                <w:szCs w:val="22"/>
                              </w:rPr>
                              <w:t>Dipartimento Area Tecnica;</w:t>
                            </w:r>
                          </w:p>
                          <w:p w:rsidR="00F6758F" w:rsidRDefault="00F6758F">
                            <w:pPr>
                              <w:pStyle w:val="Contenutocornice"/>
                              <w:numPr>
                                <w:ilvl w:val="0"/>
                                <w:numId w:val="42"/>
                              </w:numPr>
                              <w:jc w:val="both"/>
                              <w:rPr>
                                <w:sz w:val="22"/>
                                <w:szCs w:val="22"/>
                              </w:rPr>
                            </w:pPr>
                            <w:r>
                              <w:rPr>
                                <w:color w:val="000000"/>
                                <w:sz w:val="22"/>
                                <w:szCs w:val="22"/>
                              </w:rPr>
                              <w:t>Rete Ospedaliera.</w:t>
                            </w:r>
                          </w:p>
                          <w:p w:rsidR="00F6758F" w:rsidRDefault="00F6758F">
                            <w:pPr>
                              <w:pStyle w:val="Contenutocornice"/>
                              <w:jc w:val="both"/>
                              <w:rPr>
                                <w:sz w:val="22"/>
                                <w:szCs w:val="22"/>
                              </w:rPr>
                            </w:pPr>
                            <w:r>
                              <w:rPr>
                                <w:color w:val="000000"/>
                                <w:sz w:val="22"/>
                                <w:szCs w:val="22"/>
                              </w:rPr>
                              <w:t>Il dettaglio sulle modifiche organizzative intervenute è contenuto nelle delibere n. 491 del 30/04/2024, n. 942 del 06/09/2024 e n. 1447 del 18/12/2024.</w:t>
                            </w:r>
                          </w:p>
                          <w:p w:rsidR="00F6758F" w:rsidRDefault="00F6758F">
                            <w:pPr>
                              <w:pStyle w:val="Contenutocornice"/>
                              <w:jc w:val="both"/>
                              <w:rPr>
                                <w:sz w:val="22"/>
                                <w:szCs w:val="22"/>
                              </w:rPr>
                            </w:pPr>
                            <w:r>
                              <w:rPr>
                                <w:color w:val="000000"/>
                                <w:sz w:val="22"/>
                                <w:szCs w:val="22"/>
                              </w:rPr>
                              <w:t>2) Il RPCT ha predisposto una bozza di regolamento per la rotazione ordinaria e straordinaria sulla base delle linee guida approvate dal Coordinamento Regionale dei Responsabili Anticorruzione e Trasparenza (CRRA), conformi alle indicazioni fornite dal PNA e dalla delibera ANAC 215/2019. La bozza è stata sottoposta all’esame della Direzione Aziendale.</w:t>
                            </w:r>
                          </w:p>
                        </w:txbxContent>
                      </wps:txbx>
                      <wps:bodyPr anchor="t">
                        <a:prstTxWarp prst="textNoShape">
                          <a:avLst/>
                        </a:prstTxWarp>
                        <a:noAutofit/>
                      </wps:bodyPr>
                    </wps:wsp>
                  </a:graphicData>
                </a:graphic>
              </wp:anchor>
            </w:drawing>
          </mc:Choice>
          <mc:Fallback>
            <w:pict>
              <v:rect w14:anchorId="30AA417E" id="Casella di testo 7" o:spid="_x0000_s1028" style="position:absolute;left:0;text-align:left;margin-left:-.3pt;margin-top:44.25pt;width:481.85pt;height:535.8pt;z-index:251647488;visibility:visible;mso-wrap-style:square;mso-wrap-distance-left:8.45pt;mso-wrap-distance-top:0;mso-wrap-distance-right:10.35pt;mso-wrap-distance-bottom:1.5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" o:allowincell="f" fillcolor="#deeaf6 [664]" strokeweight=".5pt">
                <v:stroke joinstyle="round"/>
                <v:textbox>
                  <w:txbxContent>
                    <w:p w:rsidR="00F6758F" w:rsidRDefault="00F6758F">
                      <w:pPr>
                        <w:pStyle w:val="Contenutocornice"/>
                        <w:jc w:val="both"/>
                        <w:rPr>
                          <w:sz w:val="22"/>
                          <w:szCs w:val="22"/>
                        </w:rPr>
                      </w:pPr>
                      <w:r>
                        <w:rPr>
                          <w:color w:val="000000"/>
                          <w:sz w:val="22"/>
                          <w:szCs w:val="22"/>
                        </w:rPr>
                        <w:t>Note del RPCT:</w:t>
                      </w:r>
                    </w:p>
                    <w:p w:rsidR="00F6758F" w:rsidRDefault="00F6758F">
                      <w:pPr>
                        <w:pStyle w:val="Contenutocornice"/>
                        <w:jc w:val="both"/>
                        <w:rPr>
                          <w:sz w:val="22"/>
                          <w:szCs w:val="22"/>
                        </w:rPr>
                      </w:pPr>
                      <w:r>
                        <w:rPr>
                          <w:color w:val="000000"/>
                          <w:sz w:val="22"/>
                          <w:szCs w:val="22"/>
                        </w:rPr>
                        <w:t>1) L’Azienda, nel corso dell’anno 2024, ha riprogettato settori significativi del proprio assetto organizzativo nell’ottica di implementare ulteriormente una rete integrata di servizi sanitari di prevenzione, cura e riabilitazione ed una rete di servizi socio-sanitari in ambito ospedaliero, ambulatoriale e domiciliare, anche in applicazione di quanto previsto dalle indicazioni nazionali (D.M. 77/2022) e regionali (DGRT n.1508/2022, DGRT n.1425/2022, DPGR 14950/2022, DPGR  24489/2022, ecc.).</w:t>
                      </w:r>
                    </w:p>
                    <w:p w:rsidR="00F6758F" w:rsidRDefault="00F6758F">
                      <w:pPr>
                        <w:pStyle w:val="Contenutocornice"/>
                        <w:jc w:val="both"/>
                        <w:rPr>
                          <w:sz w:val="22"/>
                          <w:szCs w:val="22"/>
                        </w:rPr>
                      </w:pPr>
                      <w:r>
                        <w:rPr>
                          <w:color w:val="000000"/>
                          <w:sz w:val="22"/>
                          <w:szCs w:val="22"/>
                        </w:rPr>
                        <w:t>A tal fine, sulla base della programmazione aziendale, sono state modificate intere aggregazioni dipartimentali ridefinendone le funzioni operative, svolte attraverso le strutture organizzative ad esse assegnate, le risorse e i macro obiettivi.</w:t>
                      </w:r>
                    </w:p>
                    <w:p w:rsidR="00F6758F" w:rsidRDefault="00F6758F">
                      <w:pPr>
                        <w:pStyle w:val="Contenutocornice"/>
                        <w:jc w:val="both"/>
                        <w:rPr>
                          <w:sz w:val="22"/>
                          <w:szCs w:val="22"/>
                        </w:rPr>
                      </w:pPr>
                      <w:r>
                        <w:rPr>
                          <w:color w:val="000000"/>
                          <w:sz w:val="22"/>
                          <w:szCs w:val="22"/>
                        </w:rPr>
                        <w:t xml:space="preserve">Il processo di riorganizzazione ha interessato, in particolare, le seguenti strutture aziendali determinando, tra l’altro, la rotazione o la modifica di incarichi dirigenziali precedentemente assegnati:  </w:t>
                      </w:r>
                    </w:p>
                    <w:p w:rsidR="00F6758F" w:rsidRDefault="00F6758F">
                      <w:pPr>
                        <w:pStyle w:val="Contenutocornice"/>
                        <w:numPr>
                          <w:ilvl w:val="0"/>
                          <w:numId w:val="42"/>
                        </w:numPr>
                        <w:jc w:val="both"/>
                        <w:rPr>
                          <w:sz w:val="22"/>
                          <w:szCs w:val="22"/>
                        </w:rPr>
                      </w:pPr>
                      <w:r>
                        <w:rPr>
                          <w:color w:val="000000"/>
                          <w:sz w:val="22"/>
                          <w:szCs w:val="22"/>
                        </w:rPr>
                        <w:t>Staff della Direzione Generale;</w:t>
                      </w:r>
                    </w:p>
                    <w:p w:rsidR="00F6758F" w:rsidRDefault="00F6758F">
                      <w:pPr>
                        <w:pStyle w:val="Contenutocornice"/>
                        <w:numPr>
                          <w:ilvl w:val="0"/>
                          <w:numId w:val="42"/>
                        </w:numPr>
                        <w:jc w:val="both"/>
                        <w:rPr>
                          <w:sz w:val="22"/>
                          <w:szCs w:val="22"/>
                        </w:rPr>
                      </w:pPr>
                      <w:r>
                        <w:rPr>
                          <w:color w:val="000000"/>
                          <w:sz w:val="22"/>
                          <w:szCs w:val="22"/>
                        </w:rPr>
                        <w:t>Staff della Direzione Sanitaria;</w:t>
                      </w:r>
                    </w:p>
                    <w:p w:rsidR="00F6758F" w:rsidRDefault="00F6758F">
                      <w:pPr>
                        <w:pStyle w:val="Contenutocornice"/>
                        <w:numPr>
                          <w:ilvl w:val="0"/>
                          <w:numId w:val="42"/>
                        </w:numPr>
                        <w:jc w:val="both"/>
                        <w:rPr>
                          <w:sz w:val="22"/>
                          <w:szCs w:val="22"/>
                        </w:rPr>
                      </w:pPr>
                      <w:r>
                        <w:rPr>
                          <w:color w:val="000000"/>
                          <w:sz w:val="22"/>
                          <w:szCs w:val="22"/>
                        </w:rPr>
                        <w:t>Staff della Direzione Amministrativa;</w:t>
                      </w:r>
                    </w:p>
                    <w:p w:rsidR="00F6758F" w:rsidRDefault="00F6758F">
                      <w:pPr>
                        <w:pStyle w:val="Contenutocornice"/>
                        <w:numPr>
                          <w:ilvl w:val="0"/>
                          <w:numId w:val="42"/>
                        </w:numPr>
                        <w:jc w:val="both"/>
                        <w:rPr>
                          <w:sz w:val="22"/>
                          <w:szCs w:val="22"/>
                        </w:rPr>
                      </w:pPr>
                      <w:r>
                        <w:rPr>
                          <w:color w:val="000000"/>
                          <w:sz w:val="22"/>
                          <w:szCs w:val="22"/>
                        </w:rPr>
                        <w:t>Dipartimento di Medicina Multidimensionale;</w:t>
                      </w:r>
                    </w:p>
                    <w:p w:rsidR="00F6758F" w:rsidRDefault="00F6758F">
                      <w:pPr>
                        <w:pStyle w:val="Contenutocornice"/>
                        <w:numPr>
                          <w:ilvl w:val="0"/>
                          <w:numId w:val="42"/>
                        </w:numPr>
                        <w:jc w:val="both"/>
                        <w:rPr>
                          <w:sz w:val="22"/>
                          <w:szCs w:val="22"/>
                        </w:rPr>
                      </w:pPr>
                      <w:r>
                        <w:rPr>
                          <w:color w:val="000000"/>
                          <w:sz w:val="22"/>
                          <w:szCs w:val="22"/>
                        </w:rPr>
                        <w:t>Dipartimento delle Specialistiche Mediche;</w:t>
                      </w:r>
                    </w:p>
                    <w:p w:rsidR="00F6758F" w:rsidRDefault="00F6758F">
                      <w:pPr>
                        <w:pStyle w:val="Contenutocornice"/>
                        <w:numPr>
                          <w:ilvl w:val="0"/>
                          <w:numId w:val="42"/>
                        </w:numPr>
                        <w:jc w:val="both"/>
                        <w:rPr>
                          <w:sz w:val="22"/>
                          <w:szCs w:val="22"/>
                        </w:rPr>
                      </w:pPr>
                      <w:r>
                        <w:rPr>
                          <w:color w:val="000000"/>
                          <w:sz w:val="22"/>
                          <w:szCs w:val="22"/>
                        </w:rPr>
                        <w:t>Dipartimento delle Specialistiche Chirurgiche;</w:t>
                      </w:r>
                    </w:p>
                    <w:p w:rsidR="00F6758F" w:rsidRDefault="00F6758F">
                      <w:pPr>
                        <w:pStyle w:val="Contenutocornice"/>
                        <w:numPr>
                          <w:ilvl w:val="0"/>
                          <w:numId w:val="42"/>
                        </w:numPr>
                        <w:jc w:val="both"/>
                        <w:rPr>
                          <w:sz w:val="22"/>
                          <w:szCs w:val="22"/>
                        </w:rPr>
                      </w:pPr>
                      <w:r>
                        <w:rPr>
                          <w:color w:val="000000"/>
                          <w:sz w:val="22"/>
                          <w:szCs w:val="22"/>
                        </w:rPr>
                        <w:t>Dipartimento Emergenza e Area critica;</w:t>
                      </w:r>
                    </w:p>
                    <w:p w:rsidR="00F6758F" w:rsidRDefault="00F6758F">
                      <w:pPr>
                        <w:pStyle w:val="Contenutocornice"/>
                        <w:numPr>
                          <w:ilvl w:val="0"/>
                          <w:numId w:val="42"/>
                        </w:numPr>
                        <w:jc w:val="both"/>
                        <w:rPr>
                          <w:sz w:val="22"/>
                          <w:szCs w:val="22"/>
                        </w:rPr>
                      </w:pPr>
                      <w:r>
                        <w:rPr>
                          <w:color w:val="000000"/>
                          <w:sz w:val="22"/>
                          <w:szCs w:val="22"/>
                        </w:rPr>
                        <w:t>Dipartimento Oncologico;</w:t>
                      </w:r>
                    </w:p>
                    <w:p w:rsidR="00F6758F" w:rsidRDefault="00F6758F">
                      <w:pPr>
                        <w:pStyle w:val="Contenutocornice"/>
                        <w:numPr>
                          <w:ilvl w:val="0"/>
                          <w:numId w:val="42"/>
                        </w:numPr>
                        <w:jc w:val="both"/>
                        <w:rPr>
                          <w:sz w:val="22"/>
                          <w:szCs w:val="22"/>
                        </w:rPr>
                      </w:pPr>
                      <w:r>
                        <w:rPr>
                          <w:color w:val="000000"/>
                          <w:sz w:val="22"/>
                          <w:szCs w:val="22"/>
                        </w:rPr>
                        <w:t>Dipartimento Materno Infantile;</w:t>
                      </w:r>
                    </w:p>
                    <w:p w:rsidR="00F6758F" w:rsidRDefault="00F6758F">
                      <w:pPr>
                        <w:pStyle w:val="Contenutocornice"/>
                        <w:numPr>
                          <w:ilvl w:val="0"/>
                          <w:numId w:val="42"/>
                        </w:numPr>
                        <w:jc w:val="both"/>
                        <w:rPr>
                          <w:sz w:val="22"/>
                          <w:szCs w:val="22"/>
                        </w:rPr>
                      </w:pPr>
                      <w:r>
                        <w:rPr>
                          <w:color w:val="000000"/>
                          <w:sz w:val="22"/>
                          <w:szCs w:val="22"/>
                        </w:rPr>
                        <w:t>Dipartimento dei Servizi Sociali;</w:t>
                      </w:r>
                    </w:p>
                    <w:p w:rsidR="00F6758F" w:rsidRDefault="00F6758F">
                      <w:pPr>
                        <w:pStyle w:val="Contenutocornice"/>
                        <w:numPr>
                          <w:ilvl w:val="0"/>
                          <w:numId w:val="42"/>
                        </w:numPr>
                        <w:jc w:val="both"/>
                        <w:rPr>
                          <w:sz w:val="22"/>
                          <w:szCs w:val="22"/>
                        </w:rPr>
                      </w:pPr>
                      <w:r>
                        <w:rPr>
                          <w:color w:val="000000"/>
                          <w:sz w:val="22"/>
                          <w:szCs w:val="22"/>
                        </w:rPr>
                        <w:t>Dipartimento di Medicina Multidimensionale;</w:t>
                      </w:r>
                    </w:p>
                    <w:p w:rsidR="00F6758F" w:rsidRDefault="00F6758F">
                      <w:pPr>
                        <w:pStyle w:val="Contenutocornice"/>
                        <w:numPr>
                          <w:ilvl w:val="0"/>
                          <w:numId w:val="42"/>
                        </w:numPr>
                        <w:jc w:val="both"/>
                        <w:rPr>
                          <w:sz w:val="22"/>
                          <w:szCs w:val="22"/>
                        </w:rPr>
                      </w:pPr>
                      <w:r>
                        <w:rPr>
                          <w:color w:val="000000"/>
                          <w:sz w:val="22"/>
                          <w:szCs w:val="22"/>
                        </w:rPr>
                        <w:t>Dipartimento di Medicina fisica e riabilitazione;</w:t>
                      </w:r>
                    </w:p>
                    <w:p w:rsidR="00F6758F" w:rsidRDefault="00F6758F">
                      <w:pPr>
                        <w:pStyle w:val="Contenutocornice"/>
                        <w:numPr>
                          <w:ilvl w:val="0"/>
                          <w:numId w:val="42"/>
                        </w:numPr>
                        <w:jc w:val="both"/>
                        <w:rPr>
                          <w:sz w:val="22"/>
                          <w:szCs w:val="22"/>
                        </w:rPr>
                      </w:pPr>
                      <w:r>
                        <w:rPr>
                          <w:color w:val="000000"/>
                          <w:sz w:val="22"/>
                          <w:szCs w:val="22"/>
                        </w:rPr>
                        <w:t>Dipartimento Salute Mentale e Dipendenze;</w:t>
                      </w:r>
                    </w:p>
                    <w:p w:rsidR="00F6758F" w:rsidRDefault="00F6758F">
                      <w:pPr>
                        <w:pStyle w:val="Contenutocornice"/>
                        <w:numPr>
                          <w:ilvl w:val="0"/>
                          <w:numId w:val="42"/>
                        </w:numPr>
                        <w:jc w:val="both"/>
                        <w:rPr>
                          <w:sz w:val="22"/>
                          <w:szCs w:val="22"/>
                        </w:rPr>
                      </w:pPr>
                      <w:r>
                        <w:rPr>
                          <w:color w:val="000000"/>
                          <w:sz w:val="22"/>
                          <w:szCs w:val="22"/>
                        </w:rPr>
                        <w:t>Dipartimento del Farmaco;</w:t>
                      </w:r>
                    </w:p>
                    <w:p w:rsidR="00F6758F" w:rsidRDefault="00F6758F">
                      <w:pPr>
                        <w:pStyle w:val="Contenutocornice"/>
                        <w:numPr>
                          <w:ilvl w:val="0"/>
                          <w:numId w:val="42"/>
                        </w:numPr>
                        <w:jc w:val="both"/>
                        <w:rPr>
                          <w:sz w:val="22"/>
                          <w:szCs w:val="22"/>
                        </w:rPr>
                      </w:pPr>
                      <w:r>
                        <w:rPr>
                          <w:color w:val="000000"/>
                          <w:sz w:val="22"/>
                          <w:szCs w:val="22"/>
                        </w:rPr>
                        <w:t>Dipartimento Rete Sanitaria Territoriale;</w:t>
                      </w:r>
                    </w:p>
                    <w:p w:rsidR="00F6758F" w:rsidRDefault="00F6758F">
                      <w:pPr>
                        <w:pStyle w:val="Contenutocornice"/>
                        <w:numPr>
                          <w:ilvl w:val="0"/>
                          <w:numId w:val="42"/>
                        </w:numPr>
                        <w:jc w:val="both"/>
                        <w:rPr>
                          <w:sz w:val="22"/>
                          <w:szCs w:val="22"/>
                        </w:rPr>
                      </w:pPr>
                      <w:r>
                        <w:rPr>
                          <w:color w:val="000000"/>
                          <w:sz w:val="22"/>
                          <w:szCs w:val="22"/>
                        </w:rPr>
                        <w:t>Dipartimento Assistenza infermieristica e ostetrica;</w:t>
                      </w:r>
                    </w:p>
                    <w:p w:rsidR="00F6758F" w:rsidRDefault="00F6758F">
                      <w:pPr>
                        <w:pStyle w:val="Contenutocornice"/>
                        <w:numPr>
                          <w:ilvl w:val="0"/>
                          <w:numId w:val="42"/>
                        </w:numPr>
                        <w:jc w:val="both"/>
                        <w:rPr>
                          <w:sz w:val="22"/>
                          <w:szCs w:val="22"/>
                        </w:rPr>
                      </w:pPr>
                      <w:r>
                        <w:rPr>
                          <w:color w:val="000000"/>
                          <w:sz w:val="22"/>
                          <w:szCs w:val="22"/>
                        </w:rPr>
                        <w:t>Dipartimento Risorse Umane;</w:t>
                      </w:r>
                    </w:p>
                    <w:p w:rsidR="00F6758F" w:rsidRDefault="00F6758F">
                      <w:pPr>
                        <w:pStyle w:val="Contenutocornice"/>
                        <w:numPr>
                          <w:ilvl w:val="0"/>
                          <w:numId w:val="42"/>
                        </w:numPr>
                        <w:jc w:val="both"/>
                        <w:rPr>
                          <w:sz w:val="22"/>
                          <w:szCs w:val="22"/>
                        </w:rPr>
                      </w:pPr>
                      <w:r>
                        <w:rPr>
                          <w:color w:val="000000"/>
                          <w:sz w:val="22"/>
                          <w:szCs w:val="22"/>
                        </w:rPr>
                        <w:t>Dipartimento Amministrazione, pianificazione e controllo di gestione;</w:t>
                      </w:r>
                    </w:p>
                    <w:p w:rsidR="00F6758F" w:rsidRDefault="00F6758F">
                      <w:pPr>
                        <w:pStyle w:val="Contenutocornice"/>
                        <w:numPr>
                          <w:ilvl w:val="0"/>
                          <w:numId w:val="42"/>
                        </w:numPr>
                        <w:jc w:val="both"/>
                        <w:rPr>
                          <w:sz w:val="22"/>
                          <w:szCs w:val="22"/>
                        </w:rPr>
                      </w:pPr>
                      <w:r>
                        <w:rPr>
                          <w:color w:val="000000"/>
                          <w:sz w:val="22"/>
                          <w:szCs w:val="22"/>
                        </w:rPr>
                        <w:t>Dipartimento Approvvigionamento Prestazioni Beni e Servizi;</w:t>
                      </w:r>
                    </w:p>
                    <w:p w:rsidR="00F6758F" w:rsidRDefault="00F6758F">
                      <w:pPr>
                        <w:pStyle w:val="Contenutocornice"/>
                        <w:numPr>
                          <w:ilvl w:val="0"/>
                          <w:numId w:val="42"/>
                        </w:numPr>
                        <w:jc w:val="both"/>
                        <w:rPr>
                          <w:sz w:val="22"/>
                          <w:szCs w:val="22"/>
                        </w:rPr>
                      </w:pPr>
                      <w:r>
                        <w:rPr>
                          <w:color w:val="000000"/>
                          <w:sz w:val="22"/>
                          <w:szCs w:val="22"/>
                        </w:rPr>
                        <w:t>Dipartimento Servizi Amministrativi Ospedale Territorio;</w:t>
                      </w:r>
                    </w:p>
                    <w:p w:rsidR="00F6758F" w:rsidRDefault="00F6758F">
                      <w:pPr>
                        <w:pStyle w:val="Contenutocornice"/>
                        <w:numPr>
                          <w:ilvl w:val="0"/>
                          <w:numId w:val="42"/>
                        </w:numPr>
                        <w:jc w:val="both"/>
                        <w:rPr>
                          <w:sz w:val="22"/>
                          <w:szCs w:val="22"/>
                        </w:rPr>
                      </w:pPr>
                      <w:r>
                        <w:rPr>
                          <w:color w:val="000000"/>
                          <w:sz w:val="22"/>
                          <w:szCs w:val="22"/>
                        </w:rPr>
                        <w:t>Dipartimento Area Tecnica;</w:t>
                      </w:r>
                    </w:p>
                    <w:p w:rsidR="00F6758F" w:rsidRDefault="00F6758F">
                      <w:pPr>
                        <w:pStyle w:val="Contenutocornice"/>
                        <w:numPr>
                          <w:ilvl w:val="0"/>
                          <w:numId w:val="42"/>
                        </w:numPr>
                        <w:jc w:val="both"/>
                        <w:rPr>
                          <w:sz w:val="22"/>
                          <w:szCs w:val="22"/>
                        </w:rPr>
                      </w:pPr>
                      <w:r>
                        <w:rPr>
                          <w:color w:val="000000"/>
                          <w:sz w:val="22"/>
                          <w:szCs w:val="22"/>
                        </w:rPr>
                        <w:t>Rete Ospedaliera.</w:t>
                      </w:r>
                    </w:p>
                    <w:p w:rsidR="00F6758F" w:rsidRDefault="00F6758F">
                      <w:pPr>
                        <w:pStyle w:val="Contenutocornice"/>
                        <w:jc w:val="both"/>
                        <w:rPr>
                          <w:sz w:val="22"/>
                          <w:szCs w:val="22"/>
                        </w:rPr>
                      </w:pPr>
                      <w:r>
                        <w:rPr>
                          <w:color w:val="000000"/>
                          <w:sz w:val="22"/>
                          <w:szCs w:val="22"/>
                        </w:rPr>
                        <w:t>Il dettaglio sulle modifiche organizzative intervenute è contenuto nelle delibere n. 491 del 30/04/2024, n. 942 del 06/09/2024 e n. 1447 del 18/12/2024.</w:t>
                      </w:r>
                    </w:p>
                    <w:p w:rsidR="00F6758F" w:rsidRDefault="00F6758F">
                      <w:pPr>
                        <w:pStyle w:val="Contenutocornice"/>
                        <w:jc w:val="both"/>
                        <w:rPr>
                          <w:sz w:val="22"/>
                          <w:szCs w:val="22"/>
                        </w:rPr>
                      </w:pPr>
                      <w:r>
                        <w:rPr>
                          <w:color w:val="000000"/>
                          <w:sz w:val="22"/>
                          <w:szCs w:val="22"/>
                        </w:rPr>
                        <w:t>2) Il RPCT ha predisposto una bozza di regolamento per la rotazione ordinaria e straordinaria sulla base delle linee guida approvate dal Coordinamento Regionale dei Responsabili Anticorruzione e Trasparenza (CRRA), conformi alle indicazioni fornite dal PNA e dalla delibera ANAC 215/2019. La bozza è stata sottoposta all’esame della Direzione Aziendale.</w:t>
                      </w:r>
                    </w:p>
                  </w:txbxContent>
                </v:textbox>
                <w10:wrap type="topAndBottom"/>
              </v:rect>
            </w:pict>
          </mc:Fallback>
        </mc:AlternateContent>
      </w:r>
      <w:r>
        <w:t>In assenza di rinvii a giudizio per i delitti previsti dall'art. 3, comma 1, della L. n. 97/2001, non si è reso necessario adottare attribuzioni di incarichi differenti, trasferimenti ad uffici diversi, trasferimenti di sede.</w:t>
      </w:r>
    </w:p>
    <w:p w:rsidR="006440AE" w:rsidRDefault="00F6758F">
      <w:pPr>
        <w:pStyle w:val="Titolo2"/>
      </w:pPr>
      <w:bookmarkStart w:id="10" w:name="_Toc189121494"/>
      <w:r>
        <w:t>Misure in materia di conflitto di interessi</w:t>
      </w:r>
      <w:bookmarkEnd w:id="10"/>
      <w:r>
        <w:t xml:space="preserve"> </w:t>
      </w:r>
    </w:p>
    <w:p w:rsidR="006440AE" w:rsidRDefault="006440AE">
      <w:pPr>
        <w:jc w:val="both"/>
      </w:pPr>
    </w:p>
    <w:p w:rsidR="006440AE" w:rsidRDefault="00F6758F">
      <w:pPr>
        <w:jc w:val="both"/>
      </w:pPr>
      <w:r>
        <w:t>In merito alle misure di inconferibilità e incompatibilità per gli incarichi amministrativi di vertice, dirigenziali e le altre cariche specificate nel D.lgs. 39/2013, è stata adottata una procedura/regolamento/atto per l'adozione delle misure o, anche in assenza di procedura formalizzata, le misure sono state attuate.</w:t>
      </w:r>
    </w:p>
    <w:p w:rsidR="006440AE" w:rsidRDefault="006440AE">
      <w:pPr>
        <w:jc w:val="both"/>
      </w:pPr>
    </w:p>
    <w:p w:rsidR="006440AE" w:rsidRDefault="00F6758F">
      <w:pPr>
        <w:jc w:val="both"/>
      </w:pPr>
      <w:r>
        <w:t>In merito alle misure in materia di conferimento e autorizzazione degli incarichi ai dipendenti, è stata adottata una procedura/regolamento/atto per l'adozione delle misure in materia di conferimento e autorizzazione degli incarichi ai Dipendenti o, anche in assenza di procedura formalizzata, le misure sono state attuate.</w:t>
      </w:r>
    </w:p>
    <w:p w:rsidR="006440AE" w:rsidRDefault="006440AE">
      <w:pPr>
        <w:jc w:val="both"/>
      </w:pPr>
    </w:p>
    <w:p w:rsidR="006440AE" w:rsidRDefault="00F6758F">
      <w:pPr>
        <w:jc w:val="both"/>
      </w:pPr>
      <w:r>
        <w:t>Nel PTPCT o nella sezione Anticorruzione e Trasparenza del PIAO, nell'atto o regolamento adottato sulle misure di inconferibilità ed incompatibilità per incarichi amministrativi di vertice, dirigenziali e le altre cariche specificate nel D.lgs. 39/2013, sono esplicitate le direttive per l'attribuzione degli incarichi e la verifica tempestiva di insussistenza di cause ostative.</w:t>
      </w:r>
    </w:p>
    <w:p w:rsidR="006440AE" w:rsidRDefault="006440AE">
      <w:pPr>
        <w:jc w:val="both"/>
      </w:pPr>
    </w:p>
    <w:p w:rsidR="006440AE" w:rsidRDefault="00F6758F">
      <w:pPr>
        <w:jc w:val="both"/>
      </w:pPr>
      <w:r>
        <w:rPr>
          <w:b/>
          <w:bCs/>
        </w:rPr>
        <w:t>INCONFERIBILITÀ</w:t>
      </w:r>
      <w:r>
        <w:t xml:space="preserve"> </w:t>
      </w:r>
      <w:r>
        <w:br/>
        <w:t>Nell'anno di riferimento del PTPCT o della sezione Anticorruzione e Trasparenza del PIAO in esame, sono pervenute 24 dichiarazioni rese dagli interessati sull'insussistenza di cause di inconferibilità.</w:t>
      </w:r>
    </w:p>
    <w:p w:rsidR="006440AE" w:rsidRDefault="006440AE">
      <w:pPr>
        <w:jc w:val="both"/>
      </w:pPr>
    </w:p>
    <w:p w:rsidR="006440AE" w:rsidRDefault="00F6758F">
      <w:pPr>
        <w:jc w:val="both"/>
      </w:pPr>
      <w:r>
        <w:t>Sono state effettuate 3 verifiche sulla veridicità delle dichiarazioni rese dagli interessati sull'insussistenza di cause di inconferibilità, più in dettaglio:</w:t>
      </w:r>
    </w:p>
    <w:p w:rsidR="006440AE" w:rsidRDefault="00F6758F">
      <w:pPr>
        <w:numPr>
          <w:ilvl w:val="0"/>
          <w:numId w:val="8"/>
        </w:numPr>
        <w:jc w:val="both"/>
      </w:pPr>
      <w:r>
        <w:t>a seguito delle verifiche effettuate non sono state accertate violazioni;</w:t>
      </w:r>
    </w:p>
    <w:p w:rsidR="006440AE" w:rsidRDefault="00F6758F">
      <w:pPr>
        <w:numPr>
          <w:ilvl w:val="0"/>
          <w:numId w:val="8"/>
        </w:numPr>
        <w:jc w:val="both"/>
      </w:pPr>
      <w:r>
        <w:t>a seguito delle verifiche effettuate non risultano procedimenti sanzionatori avviati dal RPCT.</w:t>
      </w:r>
    </w:p>
    <w:p w:rsidR="006440AE" w:rsidRDefault="006440AE">
      <w:pPr>
        <w:jc w:val="both"/>
      </w:pPr>
    </w:p>
    <w:p w:rsidR="006440AE" w:rsidRDefault="00F6758F">
      <w:pPr>
        <w:jc w:val="both"/>
      </w:pPr>
      <w:r>
        <w:rPr>
          <w:b/>
          <w:bCs/>
        </w:rPr>
        <w:t>INCOMPATIBILITÀ</w:t>
      </w:r>
      <w:r>
        <w:t xml:space="preserve"> </w:t>
      </w:r>
      <w:r>
        <w:br/>
        <w:t>Nell'anno di riferimento del PTPCT o della sezione Anticorruzione e Trasparenza del PIAO in esame, sono pervenute 71 dichiarazioni rese dagli interessati sull'insussistenza di cause di incompatibilità.</w:t>
      </w:r>
    </w:p>
    <w:p w:rsidR="006440AE" w:rsidRDefault="006440AE">
      <w:pPr>
        <w:jc w:val="both"/>
      </w:pPr>
    </w:p>
    <w:p w:rsidR="006440AE" w:rsidRDefault="00F6758F">
      <w:pPr>
        <w:jc w:val="both"/>
      </w:pPr>
      <w:r>
        <w:t>Sono state effettuate 3 verifiche sulla veridicità delle dichiarazioni rese dagli interessati sull'insussistenza di cause di incompatibilità, più in dettaglio:</w:t>
      </w:r>
    </w:p>
    <w:p w:rsidR="006440AE" w:rsidRDefault="00F6758F">
      <w:pPr>
        <w:numPr>
          <w:ilvl w:val="0"/>
          <w:numId w:val="9"/>
        </w:numPr>
        <w:jc w:val="both"/>
      </w:pPr>
      <w:r>
        <w:t>a seguito delle verifiche effettuate non sono state accertate violazioni;</w:t>
      </w:r>
    </w:p>
    <w:p w:rsidR="006440AE" w:rsidRDefault="00F6758F">
      <w:pPr>
        <w:numPr>
          <w:ilvl w:val="0"/>
          <w:numId w:val="9"/>
        </w:numPr>
        <w:jc w:val="both"/>
      </w:pPr>
      <w:r>
        <w:t>a seguito delle verifiche effettuate non risultano procedimenti sanzionatori avviati dal RPCT.</w:t>
      </w:r>
    </w:p>
    <w:p w:rsidR="006440AE" w:rsidRDefault="006440AE">
      <w:pPr>
        <w:jc w:val="both"/>
      </w:pPr>
    </w:p>
    <w:p w:rsidR="006440AE" w:rsidRDefault="00F6758F">
      <w:pPr>
        <w:jc w:val="both"/>
      </w:pPr>
      <w:r>
        <w:t>Nel PTPCT o nella sezione Anticorruzione e Trasparenza del PIAO, nell'atto o regolamento adottato sulle misure di inconferibilità ed incompatibilità per incarichi dirigenziali ai sensi del D.lgs. 39/2013, non sono esplicitate le direttive per effettuare controlli sui precedenti penali per le seguenti motivazioni: non è stato necessario adottare un regolamento formale per le attività di verifica.</w:t>
      </w:r>
    </w:p>
    <w:p w:rsidR="006440AE" w:rsidRDefault="006440AE">
      <w:pPr>
        <w:jc w:val="both"/>
      </w:pPr>
    </w:p>
    <w:p w:rsidR="006440AE" w:rsidRDefault="00F6758F">
      <w:pPr>
        <w:jc w:val="both"/>
      </w:pPr>
      <w:r>
        <w:t>Sono stati effettuati controlli sui precedenti penali nell’anno di riferimento del PTPCT o della sezione Anticorruzione e Trasparenza del PIAO, più in dettaglio:</w:t>
      </w:r>
    </w:p>
    <w:p w:rsidR="006440AE" w:rsidRDefault="00F6758F">
      <w:pPr>
        <w:numPr>
          <w:ilvl w:val="0"/>
          <w:numId w:val="10"/>
        </w:numPr>
        <w:jc w:val="both"/>
      </w:pPr>
      <w:r>
        <w:t>sono state effettuate 786 verifiche;</w:t>
      </w:r>
    </w:p>
    <w:p w:rsidR="006440AE" w:rsidRDefault="00F6758F">
      <w:pPr>
        <w:numPr>
          <w:ilvl w:val="0"/>
          <w:numId w:val="10"/>
        </w:numPr>
        <w:jc w:val="both"/>
      </w:pPr>
      <w:r>
        <w:t>a seguito dei controlli effettuati, sono state accertate 14 violazioni.</w:t>
      </w:r>
    </w:p>
    <w:p w:rsidR="006440AE" w:rsidRDefault="006440AE">
      <w:pPr>
        <w:jc w:val="both"/>
      </w:pPr>
    </w:p>
    <w:p w:rsidR="006440AE" w:rsidRDefault="006440AE">
      <w:pPr>
        <w:jc w:val="both"/>
      </w:pPr>
    </w:p>
    <w:p w:rsidR="006440AE" w:rsidRDefault="00F6758F">
      <w:pPr>
        <w:jc w:val="both"/>
        <w:rPr>
          <w:b/>
          <w:bCs/>
        </w:rPr>
      </w:pPr>
      <w:r>
        <w:rPr>
          <w:b/>
          <w:bCs/>
        </w:rPr>
        <w:t>SVOLGIMENTI INCARICHI EXTRA-ISTITUZIONALI</w:t>
      </w:r>
    </w:p>
    <w:p w:rsidR="006440AE" w:rsidRDefault="00F6758F">
      <w:pPr>
        <w:jc w:val="both"/>
      </w:pPr>
      <w:r>
        <w:t>Nell'anno di riferimento del PTPCT o della sezione Anticorruzione e Trasparenza del PIAO in esame, sono pervenute 4 segnalazioni sullo svolgimento di incarichi extra-istituzionali non autorizzati. Sono state, invece, accertate 35 violazioni.</w:t>
      </w:r>
    </w:p>
    <w:p w:rsidR="006440AE" w:rsidRDefault="006440AE"/>
    <w:p w:rsidR="006440AE" w:rsidRDefault="00F6758F">
      <w:pPr>
        <w:rPr>
          <w:iCs/>
        </w:rPr>
      </w:pPr>
      <w:r>
        <w:rPr>
          <w:iCs/>
          <w:noProof/>
        </w:rPr>
        <mc:AlternateContent>
          <mc:Choice Requires="wps">
            <w:drawing>
              <wp:anchor distT="635" distB="22225" distL="112395" distR="131445" simplePos="0" relativeHeight="251648512" behindDoc="0" locked="0" layoutInCell="0" allowOverlap="1" wp14:anchorId="0DFE1FEA" wp14:editId="691B0F0D">
                <wp:simplePos x="0" y="0"/>
                <wp:positionH relativeFrom="column">
                  <wp:posOffset>0</wp:posOffset>
                </wp:positionH>
                <wp:positionV relativeFrom="paragraph">
                  <wp:posOffset>31750</wp:posOffset>
                </wp:positionV>
                <wp:extent cx="6120130" cy="1690370"/>
                <wp:effectExtent l="3810" t="3175" r="2540" b="3175"/>
                <wp:wrapTopAndBottom/>
                <wp:docPr id="4" name="Casella di testo 8"/>
                <wp:cNvGraphicFramePr/>
                <a:graphic xmlns:a="http://schemas.openxmlformats.org/drawingml/2006/main">
                  <a:graphicData uri="http://schemas.microsoft.com/office/word/2010/wordprocessingShape">
                    <wps:wsp>
                      <wps:cNvSpPr/>
                      <wps:spPr>
                        <a:xfrm>
                          <a:off x="0" y="0"/>
                          <a:ext cx="6120000" cy="1690200"/>
                        </a:xfrm>
                        <a:prstGeom prst="rect">
                          <a:avLst/>
                        </a:prstGeom>
                        <a:solidFill>
                          <a:schemeClr val="accent5">
                            <a:lumMod val="20000"/>
                            <a:lumOff val="80000"/>
                          </a:schemeClr>
                        </a:solidFill>
                        <a:ln w="6350">
                          <a:solidFill>
                            <a:srgbClr val="000000"/>
                          </a:solidFill>
                          <a:round/>
                        </a:ln>
                      </wps:spPr>
                      <wps:style>
                        <a:lnRef idx="0">
                          <a:scrgbClr r="0" g="0" b="0"/>
                        </a:lnRef>
                        <a:fillRef idx="0">
                          <a:scrgbClr r="0" g="0" b="0"/>
                        </a:fillRef>
                        <a:effectRef idx="0">
                          <a:scrgbClr r="0" g="0" b="0"/>
                        </a:effectRef>
                        <a:fontRef idx="minor"/>
                      </wps:style>
                      <wps:txbx>
                        <w:txbxContent>
                          <w:p w:rsidR="00F6758F" w:rsidRDefault="00F6758F">
                            <w:pPr>
                              <w:pStyle w:val="Contenutocornice"/>
                              <w:rPr>
                                <w:color w:val="000000"/>
                              </w:rPr>
                            </w:pPr>
                            <w:r>
                              <w:rPr>
                                <w:color w:val="000000"/>
                              </w:rPr>
                              <w:t>Note del RPCT:</w:t>
                            </w:r>
                          </w:p>
                          <w:p w:rsidR="00F6758F" w:rsidRDefault="00F6758F">
                            <w:pPr>
                              <w:pStyle w:val="Contenutocornice"/>
                              <w:jc w:val="both"/>
                              <w:rPr>
                                <w:color w:val="000000"/>
                              </w:rPr>
                            </w:pPr>
                            <w:r>
                              <w:rPr>
                                <w:color w:val="000000"/>
                              </w:rPr>
                              <w:t>1) Le modalità per la verifica tempestiva delle eventuali situazioni di inconferibilità o incompatibilità previste dal D.lgs. 39/2013, sono contenute nel regolamento aziendale sulla gestione del conflitto di interessi, adottato con delibera n. 380 del 05/04/2024.</w:t>
                            </w:r>
                          </w:p>
                          <w:p w:rsidR="00F6758F" w:rsidRDefault="00F6758F">
                            <w:pPr>
                              <w:pStyle w:val="Contenutocornice"/>
                              <w:jc w:val="both"/>
                              <w:rPr>
                                <w:color w:val="000000"/>
                              </w:rPr>
                            </w:pPr>
                            <w:r>
                              <w:rPr>
                                <w:color w:val="000000"/>
                              </w:rPr>
                              <w:t>2) Nell’Azienda Sanitaria le misure sulla inconferibilità e incompatibilità previste dal D.lgs. 39/2013, si applicano al Direttore Generale, al Direttore Amministrativo, al Direttore Sanitario, al Direttore dei Servizi Sociali, alla Dirigenza PTA. In conformità alla delibera ANAC 1146/2019 sono esclusi gli incarichi dirigenziali riconducibili ai ruoli della dirigenza sanitaria (medica e non).</w:t>
                            </w:r>
                          </w:p>
                        </w:txbxContent>
                      </wps:txbx>
                      <wps:bodyPr anchor="t">
                        <a:prstTxWarp prst="textNoShape">
                          <a:avLst/>
                        </a:prstTxWarp>
                        <a:noAutofit/>
                      </wps:bodyPr>
                    </wps:wsp>
                  </a:graphicData>
                </a:graphic>
              </wp:anchor>
            </w:drawing>
          </mc:Choice>
          <mc:Fallback>
            <w:pict>
              <v:rect w14:anchorId="0DFE1FEA" id="Casella di testo 8" o:spid="_x0000_s1029" style="position:absolute;margin-left:0;margin-top:2.5pt;width:481.9pt;height:133.1pt;z-index:251648512;visibility:visible;mso-wrap-style:square;mso-wrap-distance-left:8.85pt;mso-wrap-distance-top:.05pt;mso-wrap-distance-right:10.35pt;mso-wrap-distance-bottom:1.7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" o:allowincell="f" fillcolor="#deeaf6 [664]" strokeweight=".5pt">
                <v:stroke joinstyle="round"/>
                <v:textbox>
                  <w:txbxContent>
                    <w:p w:rsidR="00F6758F" w:rsidRDefault="00F6758F">
                      <w:pPr>
                        <w:pStyle w:val="Contenutocornice"/>
                        <w:rPr>
                          <w:color w:val="000000"/>
                        </w:rPr>
                      </w:pPr>
                      <w:r>
                        <w:rPr>
                          <w:color w:val="000000"/>
                        </w:rPr>
                        <w:t>Note del RPCT:</w:t>
                      </w:r>
                    </w:p>
                    <w:p w:rsidR="00F6758F" w:rsidRDefault="00F6758F">
                      <w:pPr>
                        <w:pStyle w:val="Contenutocornice"/>
                        <w:jc w:val="both"/>
                        <w:rPr>
                          <w:color w:val="000000"/>
                        </w:rPr>
                      </w:pPr>
                      <w:r>
                        <w:rPr>
                          <w:color w:val="000000"/>
                        </w:rPr>
                        <w:t>1) Le modalità per la verifica tempestiva delle eventuali situazioni di inconferibilità o incompatibilità previste dal D.lgs. 39/2013, sono contenute nel regolamento aziendale sulla gestione del conflitto di interessi, adottato con delibera n. 380 del 05/04/2024.</w:t>
                      </w:r>
                    </w:p>
                    <w:p w:rsidR="00F6758F" w:rsidRDefault="00F6758F">
                      <w:pPr>
                        <w:pStyle w:val="Contenutocornice"/>
                        <w:jc w:val="both"/>
                        <w:rPr>
                          <w:color w:val="000000"/>
                        </w:rPr>
                      </w:pPr>
                      <w:r>
                        <w:rPr>
                          <w:color w:val="000000"/>
                        </w:rPr>
                        <w:t>2) Nell’Azienda Sanitaria le misure sulla inconferibilità e incompatibilità previste dal D.lgs. 39/2013, si applicano al Direttore Generale, al Direttore Amministrativo, al Direttore Sanitario, al Direttore dei Servizi Sociali, alla Dirigenza PTA. In conformità alla delibera ANAC 1146/2019 sono esclusi gli incarichi dirigenziali riconducibili ai ruoli della dirigenza sanitaria (medica e non).</w:t>
                      </w:r>
                    </w:p>
                  </w:txbxContent>
                </v:textbox>
                <w10:wrap type="topAndBottom"/>
              </v:rect>
            </w:pict>
          </mc:Fallback>
        </mc:AlternateContent>
      </w:r>
    </w:p>
    <w:p w:rsidR="006440AE" w:rsidRDefault="00F6758F">
      <w:pPr>
        <w:pStyle w:val="Titolo2"/>
        <w:rPr>
          <w:lang w:val="en-US"/>
        </w:rPr>
      </w:pPr>
      <w:bookmarkStart w:id="11" w:name="_Toc189121495"/>
      <w:r>
        <w:rPr>
          <w:lang w:val="en-US"/>
        </w:rPr>
        <w:t>Whistleblowing</w:t>
      </w:r>
      <w:bookmarkEnd w:id="11"/>
      <w:r>
        <w:rPr>
          <w:lang w:val="en-US"/>
        </w:rPr>
        <w:t xml:space="preserve"> </w:t>
      </w:r>
    </w:p>
    <w:p w:rsidR="006440AE" w:rsidRDefault="006440AE">
      <w:pPr>
        <w:rPr>
          <w:lang w:val="en-US"/>
        </w:rPr>
      </w:pPr>
    </w:p>
    <w:p w:rsidR="006440AE" w:rsidRDefault="00F6758F">
      <w:pPr>
        <w:jc w:val="both"/>
      </w:pPr>
      <w:r>
        <w:t>Nell’anno di riferimento del PTPCT o della sezione Anticorruzione e Trasparenza del PIAO sono stati adottati gli interventi idonei a garantire l’adozione della misura “Whistleblowing”, in particolare le segnalazioni possono essere inoltrate tramite:</w:t>
      </w:r>
    </w:p>
    <w:p w:rsidR="006440AE" w:rsidRDefault="00F6758F">
      <w:pPr>
        <w:numPr>
          <w:ilvl w:val="0"/>
          <w:numId w:val="11"/>
        </w:numPr>
        <w:jc w:val="both"/>
      </w:pPr>
      <w:r>
        <w:t>Documento cartaceo;</w:t>
      </w:r>
    </w:p>
    <w:p w:rsidR="006440AE" w:rsidRDefault="00F6758F">
      <w:pPr>
        <w:numPr>
          <w:ilvl w:val="0"/>
          <w:numId w:val="11"/>
        </w:numPr>
        <w:jc w:val="both"/>
      </w:pPr>
      <w:r>
        <w:t>Email.</w:t>
      </w:r>
    </w:p>
    <w:p w:rsidR="006440AE" w:rsidRDefault="006440AE">
      <w:pPr>
        <w:jc w:val="both"/>
      </w:pPr>
    </w:p>
    <w:p w:rsidR="006440AE" w:rsidRDefault="00F6758F">
      <w:pPr>
        <w:jc w:val="both"/>
      </w:pPr>
      <w:r>
        <w:t>Possono effettuare le segnalazioni i dipendenti pubblici e gli altri soggetti assimilati a dipendenti pubblici previsti dal D.lgs. 24/2023.</w:t>
      </w:r>
    </w:p>
    <w:p w:rsidR="006440AE" w:rsidRDefault="006440AE">
      <w:pPr>
        <w:rPr>
          <w:lang w:val="en-US"/>
        </w:rPr>
      </w:pPr>
    </w:p>
    <w:p w:rsidR="006440AE" w:rsidRDefault="00F6758F">
      <w:pPr>
        <w:rPr>
          <w:lang w:val="en-US"/>
        </w:rPr>
      </w:pPr>
      <w:r>
        <w:rPr>
          <w:noProof/>
        </w:rPr>
        <mc:AlternateContent>
          <mc:Choice Requires="wps">
            <w:drawing>
              <wp:anchor distT="0" distB="22860" distL="111125" distR="133985" simplePos="0" relativeHeight="251649536" behindDoc="0" locked="0" layoutInCell="0" allowOverlap="1" wp14:anchorId="4E1D44A8" wp14:editId="53DFC030">
                <wp:simplePos x="0" y="0"/>
                <wp:positionH relativeFrom="column">
                  <wp:posOffset>0</wp:posOffset>
                </wp:positionH>
                <wp:positionV relativeFrom="paragraph">
                  <wp:posOffset>71755</wp:posOffset>
                </wp:positionV>
                <wp:extent cx="6120130" cy="1390015"/>
                <wp:effectExtent l="3175" t="3175" r="3175" b="3175"/>
                <wp:wrapTopAndBottom/>
                <wp:docPr id="5" name="Casella di testo 9"/>
                <wp:cNvGraphicFramePr/>
                <a:graphic xmlns:a="http://schemas.openxmlformats.org/drawingml/2006/main">
                  <a:graphicData uri="http://schemas.microsoft.com/office/word/2010/wordprocessingShape">
                    <wps:wsp>
                      <wps:cNvSpPr/>
                      <wps:spPr>
                        <a:xfrm>
                          <a:off x="0" y="0"/>
                          <a:ext cx="6120000" cy="1389960"/>
                        </a:xfrm>
                        <a:prstGeom prst="rect">
                          <a:avLst/>
                        </a:prstGeom>
                        <a:solidFill>
                          <a:schemeClr val="accent5">
                            <a:lumMod val="20000"/>
                            <a:lumOff val="80000"/>
                          </a:schemeClr>
                        </a:solidFill>
                        <a:ln w="6350">
                          <a:solidFill>
                            <a:srgbClr val="000000"/>
                          </a:solidFill>
                          <a:round/>
                        </a:ln>
                      </wps:spPr>
                      <wps:style>
                        <a:lnRef idx="0">
                          <a:scrgbClr r="0" g="0" b="0"/>
                        </a:lnRef>
                        <a:fillRef idx="0">
                          <a:scrgbClr r="0" g="0" b="0"/>
                        </a:fillRef>
                        <a:effectRef idx="0">
                          <a:scrgbClr r="0" g="0" b="0"/>
                        </a:effectRef>
                        <a:fontRef idx="minor"/>
                      </wps:style>
                      <wps:txbx>
                        <w:txbxContent>
                          <w:p w:rsidR="00F6758F" w:rsidRDefault="00F6758F">
                            <w:pPr>
                              <w:pStyle w:val="Contenutocornice"/>
                              <w:rPr>
                                <w:color w:val="000000"/>
                              </w:rPr>
                            </w:pPr>
                            <w:r>
                              <w:rPr>
                                <w:color w:val="000000"/>
                              </w:rPr>
                              <w:t>Note del RPCT:</w:t>
                            </w:r>
                          </w:p>
                          <w:p w:rsidR="00F6758F" w:rsidRDefault="00F6758F">
                            <w:pPr>
                              <w:pStyle w:val="Contenutocornice"/>
                              <w:jc w:val="both"/>
                              <w:rPr>
                                <w:color w:val="000000"/>
                              </w:rPr>
                            </w:pPr>
                            <w:r>
                              <w:rPr>
                                <w:color w:val="000000"/>
                              </w:rPr>
                              <w:t>1) Nel mese di ottobre 2024, l’Azienda ha avviato su piattaforma START un’indagine di mercato con richiesta di preventivo, ai sensi dell’art. 50, comma 1, lett. b) del D.lgs. 36/2023, per l’individuazione e la selezione di operatori economici, finalizzata all’affidamento diretto di un noleggio di durata triennale di una piattaforma informatica per la gestione delle segnalazioni whistleblowing. Nel corso dell’anno 2025 è prevista l’adozione e la messa in funzione della piattaforma informatica per la gestione delle segnalazioni.</w:t>
                            </w:r>
                          </w:p>
                        </w:txbxContent>
                      </wps:txbx>
                      <wps:bodyPr anchor="t">
                        <a:prstTxWarp prst="textNoShape">
                          <a:avLst/>
                        </a:prstTxWarp>
                        <a:noAutofit/>
                      </wps:bodyPr>
                    </wps:wsp>
                  </a:graphicData>
                </a:graphic>
              </wp:anchor>
            </w:drawing>
          </mc:Choice>
          <mc:Fallback>
            <w:pict>
              <v:rect w14:anchorId="4E1D44A8" id="Casella di testo 9" o:spid="_x0000_s1030" style="position:absolute;margin-left:0;margin-top:5.65pt;width:481.9pt;height:109.45pt;z-index:251649536;visibility:visible;mso-wrap-style:square;mso-wrap-distance-left:8.75pt;mso-wrap-distance-top:0;mso-wrap-distance-right:10.55pt;mso-wrap-distance-bottom:1.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" o:allowincell="f" fillcolor="#deeaf6 [664]" strokeweight=".5pt">
                <v:stroke joinstyle="round"/>
                <v:textbox>
                  <w:txbxContent>
                    <w:p w:rsidR="00F6758F" w:rsidRDefault="00F6758F">
                      <w:pPr>
                        <w:pStyle w:val="Contenutocornice"/>
                        <w:rPr>
                          <w:color w:val="000000"/>
                        </w:rPr>
                      </w:pPr>
                      <w:r>
                        <w:rPr>
                          <w:color w:val="000000"/>
                        </w:rPr>
                        <w:t>Note del RPCT:</w:t>
                      </w:r>
                    </w:p>
                    <w:p w:rsidR="00F6758F" w:rsidRDefault="00F6758F">
                      <w:pPr>
                        <w:pStyle w:val="Contenutocornice"/>
                        <w:jc w:val="both"/>
                        <w:rPr>
                          <w:color w:val="000000"/>
                        </w:rPr>
                      </w:pPr>
                      <w:r>
                        <w:rPr>
                          <w:color w:val="000000"/>
                        </w:rPr>
                        <w:t>1) Nel mese di ottobre 2024, l’Azienda ha avviato su piattaforma START un’indagine di mercato con richiesta di preventivo, ai sensi dell’art. 50, comma 1, lett. b) del D.lgs. 36/2023, per l’individuazione e la selezione di operatori economici, finalizzata all’affidamento diretto di un noleggio di durata triennale di una piattaforma informatica per la gestione delle segnalazioni whistleblowing. Nel corso dell’anno 2025 è prevista l’adozione e la messa in funzione della piattaforma informatica per la gestione delle segnalazioni.</w:t>
                      </w:r>
                    </w:p>
                  </w:txbxContent>
                </v:textbox>
                <w10:wrap type="topAndBottom"/>
              </v:rect>
            </w:pict>
          </mc:Fallback>
        </mc:AlternateContent>
      </w:r>
    </w:p>
    <w:p w:rsidR="006440AE" w:rsidRDefault="00F6758F">
      <w:pPr>
        <w:pStyle w:val="Titolo2"/>
      </w:pPr>
      <w:bookmarkStart w:id="12" w:name="_Toc189121496"/>
      <w:r>
        <w:t>Formazione</w:t>
      </w:r>
      <w:bookmarkEnd w:id="12"/>
      <w:r>
        <w:t xml:space="preserve"> </w:t>
      </w:r>
    </w:p>
    <w:p w:rsidR="006440AE" w:rsidRDefault="006440AE"/>
    <w:p w:rsidR="006440AE" w:rsidRDefault="00F6758F">
      <w:pPr>
        <w:jc w:val="both"/>
      </w:pPr>
      <w:r>
        <w:t>Nell’anno di riferimento del PTPCT o della sezione Anticorruzione e Trasparenza del PIAO è stata erogata formazione sui seguenti temi:</w:t>
      </w:r>
    </w:p>
    <w:p w:rsidR="006440AE" w:rsidRDefault="00F6758F">
      <w:pPr>
        <w:numPr>
          <w:ilvl w:val="0"/>
          <w:numId w:val="43"/>
        </w:numPr>
        <w:jc w:val="both"/>
      </w:pPr>
      <w:r>
        <w:t>Sui contenuti del Codice di Comportamento;</w:t>
      </w:r>
    </w:p>
    <w:p w:rsidR="006440AE" w:rsidRDefault="006440AE">
      <w:pPr>
        <w:jc w:val="both"/>
      </w:pPr>
    </w:p>
    <w:p w:rsidR="006440AE" w:rsidRDefault="00F6758F">
      <w:pPr>
        <w:numPr>
          <w:ilvl w:val="0"/>
          <w:numId w:val="43"/>
        </w:numPr>
        <w:jc w:val="both"/>
      </w:pPr>
      <w:r>
        <w:t>Sui temi dell’etica e dell'integrità del funzionario pubblico:</w:t>
      </w:r>
    </w:p>
    <w:p w:rsidR="006440AE" w:rsidRDefault="00F6758F">
      <w:pPr>
        <w:numPr>
          <w:ilvl w:val="1"/>
          <w:numId w:val="43"/>
        </w:numPr>
        <w:jc w:val="both"/>
      </w:pPr>
      <w:r>
        <w:t>Dirigenti per un numero medio di ore 5;</w:t>
      </w:r>
    </w:p>
    <w:p w:rsidR="006440AE" w:rsidRDefault="00F6758F">
      <w:pPr>
        <w:numPr>
          <w:ilvl w:val="1"/>
          <w:numId w:val="43"/>
        </w:numPr>
        <w:jc w:val="both"/>
      </w:pPr>
      <w:r>
        <w:t>Funzionari per un numero medio di ore 5;</w:t>
      </w:r>
    </w:p>
    <w:p w:rsidR="006440AE" w:rsidRDefault="00F6758F">
      <w:pPr>
        <w:numPr>
          <w:ilvl w:val="1"/>
          <w:numId w:val="43"/>
        </w:numPr>
        <w:jc w:val="both"/>
      </w:pPr>
      <w:r>
        <w:t>Altro personale per un numero medio di ore 3.</w:t>
      </w:r>
    </w:p>
    <w:p w:rsidR="006440AE" w:rsidRDefault="006440AE">
      <w:pPr>
        <w:jc w:val="both"/>
      </w:pPr>
    </w:p>
    <w:p w:rsidR="006440AE" w:rsidRDefault="00F6758F">
      <w:pPr>
        <w:numPr>
          <w:ilvl w:val="0"/>
          <w:numId w:val="43"/>
        </w:numPr>
        <w:jc w:val="both"/>
      </w:pPr>
      <w:r>
        <w:t>Sui contenuti del Piano Triennale di Prevenzione della Corruzione e della Trasparenza:</w:t>
      </w:r>
    </w:p>
    <w:p w:rsidR="006440AE" w:rsidRDefault="00F6758F">
      <w:pPr>
        <w:numPr>
          <w:ilvl w:val="1"/>
          <w:numId w:val="43"/>
        </w:numPr>
        <w:jc w:val="both"/>
      </w:pPr>
      <w:r>
        <w:t>Dirigenti per un numero medio di ore 3;</w:t>
      </w:r>
    </w:p>
    <w:p w:rsidR="006440AE" w:rsidRDefault="00F6758F">
      <w:pPr>
        <w:numPr>
          <w:ilvl w:val="1"/>
          <w:numId w:val="43"/>
        </w:numPr>
        <w:jc w:val="both"/>
      </w:pPr>
      <w:r>
        <w:t>Funzionari per un numero medio di ore 3.</w:t>
      </w:r>
    </w:p>
    <w:p w:rsidR="006440AE" w:rsidRDefault="00F6758F">
      <w:pPr>
        <w:numPr>
          <w:ilvl w:val="0"/>
          <w:numId w:val="43"/>
        </w:numPr>
        <w:jc w:val="both"/>
      </w:pPr>
      <w:r>
        <w:t>Sulla modalità della messa in atto del processo di gestione del rischio:</w:t>
      </w:r>
    </w:p>
    <w:p w:rsidR="006440AE" w:rsidRDefault="00F6758F">
      <w:pPr>
        <w:numPr>
          <w:ilvl w:val="1"/>
          <w:numId w:val="43"/>
        </w:numPr>
        <w:jc w:val="both"/>
      </w:pPr>
      <w:r>
        <w:t>Referenti per un numero medio di ore 2.</w:t>
      </w:r>
    </w:p>
    <w:p w:rsidR="006440AE" w:rsidRDefault="006440AE">
      <w:pPr>
        <w:jc w:val="both"/>
      </w:pPr>
    </w:p>
    <w:p w:rsidR="006440AE" w:rsidRDefault="00F6758F">
      <w:pPr>
        <w:numPr>
          <w:ilvl w:val="0"/>
          <w:numId w:val="43"/>
        </w:numPr>
        <w:jc w:val="both"/>
      </w:pPr>
      <w:r>
        <w:t>Sulla gestione del conflitto di interessi:</w:t>
      </w:r>
    </w:p>
    <w:p w:rsidR="006440AE" w:rsidRDefault="00F6758F">
      <w:pPr>
        <w:numPr>
          <w:ilvl w:val="1"/>
          <w:numId w:val="43"/>
        </w:numPr>
        <w:jc w:val="both"/>
      </w:pPr>
      <w:r>
        <w:t>Dirigenti per un numero medio di ore 1;</w:t>
      </w:r>
    </w:p>
    <w:p w:rsidR="006440AE" w:rsidRDefault="00F6758F">
      <w:pPr>
        <w:numPr>
          <w:ilvl w:val="1"/>
          <w:numId w:val="43"/>
        </w:numPr>
        <w:jc w:val="both"/>
      </w:pPr>
      <w:r>
        <w:t>Funzionari per un numero medio di ore 1.</w:t>
      </w:r>
    </w:p>
    <w:p w:rsidR="006440AE" w:rsidRDefault="006440AE">
      <w:pPr>
        <w:jc w:val="both"/>
      </w:pPr>
    </w:p>
    <w:p w:rsidR="006440AE" w:rsidRDefault="00F6758F">
      <w:pPr>
        <w:jc w:val="both"/>
      </w:pPr>
      <w:r>
        <w:t>La formazione è stata erogata tramite:</w:t>
      </w:r>
    </w:p>
    <w:p w:rsidR="006440AE" w:rsidRDefault="00F6758F">
      <w:pPr>
        <w:numPr>
          <w:ilvl w:val="0"/>
          <w:numId w:val="44"/>
        </w:numPr>
        <w:jc w:val="both"/>
      </w:pPr>
      <w:r>
        <w:t>formazione frontale;</w:t>
      </w:r>
    </w:p>
    <w:p w:rsidR="006440AE" w:rsidRDefault="00F6758F">
      <w:pPr>
        <w:numPr>
          <w:ilvl w:val="0"/>
          <w:numId w:val="44"/>
        </w:numPr>
        <w:jc w:val="both"/>
      </w:pPr>
      <w:r>
        <w:t>formazione a distanza.</w:t>
      </w:r>
    </w:p>
    <w:p w:rsidR="006440AE" w:rsidRDefault="006440AE">
      <w:pPr>
        <w:jc w:val="both"/>
      </w:pPr>
    </w:p>
    <w:p w:rsidR="006440AE" w:rsidRDefault="00F6758F">
      <w:pPr>
        <w:jc w:val="both"/>
      </w:pPr>
      <w:r>
        <w:t>Per ogni corso di formazione erogato, sono stati somministrati ai partecipanti presenti dei questionari finalizzati a misurare il loro livello di gradimento.</w:t>
      </w:r>
    </w:p>
    <w:p w:rsidR="006440AE" w:rsidRDefault="00F6758F">
      <w:pPr>
        <w:jc w:val="both"/>
      </w:pPr>
      <w:r>
        <w:t>In particolare, i corsi di formazione successivi sono stati programmati in funzione dei feedback ottenuti.</w:t>
      </w:r>
    </w:p>
    <w:p w:rsidR="006440AE" w:rsidRDefault="006440AE">
      <w:pPr>
        <w:jc w:val="both"/>
      </w:pPr>
    </w:p>
    <w:p w:rsidR="006440AE" w:rsidRDefault="00F6758F">
      <w:pPr>
        <w:jc w:val="both"/>
      </w:pPr>
      <w:r>
        <w:t>La formazione è stata affidata a soggetti esterni in dettaglio:</w:t>
      </w:r>
    </w:p>
    <w:p w:rsidR="006440AE" w:rsidRDefault="00F6758F">
      <w:pPr>
        <w:numPr>
          <w:ilvl w:val="0"/>
          <w:numId w:val="12"/>
        </w:numPr>
        <w:jc w:val="both"/>
      </w:pPr>
      <w:r>
        <w:t>Formazione in house;</w:t>
      </w:r>
    </w:p>
    <w:p w:rsidR="006440AE" w:rsidRDefault="00F6758F">
      <w:pPr>
        <w:numPr>
          <w:ilvl w:val="0"/>
          <w:numId w:val="12"/>
        </w:numPr>
        <w:jc w:val="both"/>
      </w:pPr>
      <w:r>
        <w:t>FORMAS in collaborazione con il Coordinamento Regionale dei Responsabili Anticorruzione e trasparenza (CRRA).</w:t>
      </w:r>
    </w:p>
    <w:p w:rsidR="006440AE" w:rsidRDefault="006440AE">
      <w:pPr>
        <w:jc w:val="both"/>
      </w:pPr>
    </w:p>
    <w:p w:rsidR="006440AE" w:rsidRDefault="00F6758F">
      <w:pPr>
        <w:jc w:val="both"/>
        <w:rPr>
          <w:iCs/>
        </w:rPr>
      </w:pPr>
      <w:r>
        <w:rPr>
          <w:iCs/>
          <w:noProof/>
        </w:rPr>
        <mc:AlternateContent>
          <mc:Choice Requires="wps">
            <w:drawing>
              <wp:anchor distT="0" distB="24765" distL="109220" distR="135890" simplePos="0" relativeHeight="251659776" behindDoc="0" locked="0" layoutInCell="0" allowOverlap="1" wp14:anchorId="49DCE580" wp14:editId="3A5D4734">
                <wp:simplePos x="0" y="0"/>
                <wp:positionH relativeFrom="column">
                  <wp:posOffset>0</wp:posOffset>
                </wp:positionH>
                <wp:positionV relativeFrom="paragraph">
                  <wp:posOffset>71755</wp:posOffset>
                </wp:positionV>
                <wp:extent cx="6083935" cy="683895"/>
                <wp:effectExtent l="3175" t="3175" r="3175" b="3175"/>
                <wp:wrapTopAndBottom/>
                <wp:docPr id="6" name="Casella di testo 30"/>
                <wp:cNvGraphicFramePr/>
                <a:graphic xmlns:a="http://schemas.openxmlformats.org/drawingml/2006/main">
                  <a:graphicData uri="http://schemas.microsoft.com/office/word/2010/wordprocessingShape">
                    <wps:wsp>
                      <wps:cNvSpPr/>
                      <wps:spPr>
                        <a:xfrm>
                          <a:off x="0" y="0"/>
                          <a:ext cx="6084000" cy="684000"/>
                        </a:xfrm>
                        <a:prstGeom prst="rect">
                          <a:avLst/>
                        </a:prstGeom>
                        <a:solidFill>
                          <a:schemeClr val="accent5">
                            <a:lumMod val="20000"/>
                            <a:lumOff val="80000"/>
                          </a:schemeClr>
                        </a:solidFill>
                        <a:ln w="6350">
                          <a:solidFill>
                            <a:srgbClr val="000000"/>
                          </a:solidFill>
                          <a:round/>
                        </a:ln>
                      </wps:spPr>
                      <wps:style>
                        <a:lnRef idx="0">
                          <a:scrgbClr r="0" g="0" b="0"/>
                        </a:lnRef>
                        <a:fillRef idx="0">
                          <a:scrgbClr r="0" g="0" b="0"/>
                        </a:fillRef>
                        <a:effectRef idx="0">
                          <a:scrgbClr r="0" g="0" b="0"/>
                        </a:effectRef>
                        <a:fontRef idx="minor"/>
                      </wps:style>
                      <wps:txbx>
                        <w:txbxContent>
                          <w:p w:rsidR="00F6758F" w:rsidRDefault="00F6758F">
                            <w:pPr>
                              <w:pStyle w:val="Contenutocornice"/>
                              <w:rPr>
                                <w:color w:val="000000"/>
                              </w:rPr>
                            </w:pPr>
                            <w:r>
                              <w:rPr>
                                <w:color w:val="000000"/>
                              </w:rPr>
                              <w:t>Note del RPCT:</w:t>
                            </w:r>
                          </w:p>
                          <w:p w:rsidR="00F6758F" w:rsidRDefault="00F6758F">
                            <w:pPr>
                              <w:pStyle w:val="Contenutocornice"/>
                              <w:jc w:val="both"/>
                              <w:rPr>
                                <w:color w:val="000000"/>
                              </w:rPr>
                            </w:pPr>
                            <w:r>
                              <w:rPr>
                                <w:color w:val="000000"/>
                              </w:rPr>
                              <w:t>1) La formazione in house è stata svolta direttamente dal RPCT con la collaborazione del personale della SOS Anticorruzione e Trasparenza.</w:t>
                            </w:r>
                          </w:p>
                        </w:txbxContent>
                      </wps:txbx>
                      <wps:bodyPr anchor="t">
                        <a:prstTxWarp prst="textNoShape">
                          <a:avLst/>
                        </a:prstTxWarp>
                        <a:noAutofit/>
                      </wps:bodyPr>
                    </wps:wsp>
                  </a:graphicData>
                </a:graphic>
              </wp:anchor>
            </w:drawing>
          </mc:Choice>
          <mc:Fallback>
            <w:pict>
              <v:rect w14:anchorId="49DCE580" id="Casella di testo 30" o:spid="_x0000_s1031" style="position:absolute;left:0;text-align:left;margin-left:0;margin-top:5.65pt;width:479.05pt;height:53.85pt;z-index:251659776;visibility:visible;mso-wrap-style:square;mso-wrap-distance-left:8.6pt;mso-wrap-distance-top:0;mso-wrap-distance-right:10.7pt;mso-wrap-distance-bottom:1.9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" o:allowincell="f" fillcolor="#deeaf6 [664]" strokeweight=".5pt">
                <v:stroke joinstyle="round"/>
                <v:textbox>
                  <w:txbxContent>
                    <w:p w:rsidR="00F6758F" w:rsidRDefault="00F6758F">
                      <w:pPr>
                        <w:pStyle w:val="Contenutocornice"/>
                        <w:rPr>
                          <w:color w:val="000000"/>
                        </w:rPr>
                      </w:pPr>
                      <w:r>
                        <w:rPr>
                          <w:color w:val="000000"/>
                        </w:rPr>
                        <w:t>Note del RPCT:</w:t>
                      </w:r>
                    </w:p>
                    <w:p w:rsidR="00F6758F" w:rsidRDefault="00F6758F">
                      <w:pPr>
                        <w:pStyle w:val="Contenutocornice"/>
                        <w:jc w:val="both"/>
                        <w:rPr>
                          <w:color w:val="000000"/>
                        </w:rPr>
                      </w:pPr>
                      <w:r>
                        <w:rPr>
                          <w:color w:val="000000"/>
                        </w:rPr>
                        <w:t>1) La formazione in house è stata svolta direttamente dal RPCT con la collaborazione del personale della SOS Anticorruzione e Trasparenza.</w:t>
                      </w:r>
                    </w:p>
                  </w:txbxContent>
                </v:textbox>
                <w10:wrap type="topAndBottom"/>
              </v:rect>
            </w:pict>
          </mc:Fallback>
        </mc:AlternateContent>
      </w:r>
    </w:p>
    <w:p w:rsidR="006440AE" w:rsidRDefault="00F6758F">
      <w:pPr>
        <w:pStyle w:val="Titolo2"/>
      </w:pPr>
      <w:bookmarkStart w:id="13" w:name="_Toc189121497"/>
      <w:r>
        <w:t>Trasparenza</w:t>
      </w:r>
      <w:bookmarkEnd w:id="13"/>
    </w:p>
    <w:p w:rsidR="006440AE" w:rsidRDefault="006440AE">
      <w:pPr>
        <w:jc w:val="both"/>
      </w:pPr>
    </w:p>
    <w:p w:rsidR="006440AE" w:rsidRDefault="00F6758F">
      <w:pPr>
        <w:jc w:val="both"/>
      </w:pPr>
      <w:r>
        <w:t>Nell’anno di riferimento del PTPCT o della sezione Anticorruzione e Trasparenza del PIAO in esame, sono stati svolti monitoraggi sulla pubblicazione dei dati con periodicità semestrale.</w:t>
      </w:r>
    </w:p>
    <w:p w:rsidR="006440AE" w:rsidRDefault="006440AE">
      <w:pPr>
        <w:jc w:val="both"/>
      </w:pPr>
    </w:p>
    <w:p w:rsidR="006440AE" w:rsidRDefault="00F6758F">
      <w:pPr>
        <w:jc w:val="both"/>
      </w:pPr>
      <w:r>
        <w:t>I monitoraggi hanno evidenziato irregolarità nella pubblicazione dei dati relativamente alle seguenti macro-famiglie:</w:t>
      </w:r>
    </w:p>
    <w:p w:rsidR="006440AE" w:rsidRDefault="00F6758F">
      <w:pPr>
        <w:numPr>
          <w:ilvl w:val="0"/>
          <w:numId w:val="13"/>
        </w:numPr>
        <w:jc w:val="both"/>
      </w:pPr>
      <w:r>
        <w:t>Organizzazione;</w:t>
      </w:r>
    </w:p>
    <w:p w:rsidR="006440AE" w:rsidRDefault="00F6758F">
      <w:pPr>
        <w:numPr>
          <w:ilvl w:val="0"/>
          <w:numId w:val="13"/>
        </w:numPr>
        <w:jc w:val="both"/>
      </w:pPr>
      <w:r>
        <w:t>Consulenti e collaboratori;</w:t>
      </w:r>
    </w:p>
    <w:p w:rsidR="006440AE" w:rsidRDefault="00F6758F">
      <w:pPr>
        <w:numPr>
          <w:ilvl w:val="0"/>
          <w:numId w:val="13"/>
        </w:numPr>
        <w:jc w:val="both"/>
      </w:pPr>
      <w:r>
        <w:t>Personale;</w:t>
      </w:r>
    </w:p>
    <w:p w:rsidR="006440AE" w:rsidRDefault="00F6758F">
      <w:pPr>
        <w:numPr>
          <w:ilvl w:val="0"/>
          <w:numId w:val="13"/>
        </w:numPr>
        <w:jc w:val="both"/>
      </w:pPr>
      <w:r>
        <w:t>Enti controllati;</w:t>
      </w:r>
    </w:p>
    <w:p w:rsidR="006440AE" w:rsidRDefault="00F6758F">
      <w:pPr>
        <w:numPr>
          <w:ilvl w:val="0"/>
          <w:numId w:val="13"/>
        </w:numPr>
        <w:jc w:val="both"/>
      </w:pPr>
      <w:r>
        <w:t>Bandi di gara e contratti;</w:t>
      </w:r>
    </w:p>
    <w:p w:rsidR="006440AE" w:rsidRDefault="00F6758F">
      <w:pPr>
        <w:numPr>
          <w:ilvl w:val="0"/>
          <w:numId w:val="13"/>
        </w:numPr>
        <w:jc w:val="both"/>
      </w:pPr>
      <w:r>
        <w:t>Sovvenzioni, contributi, sussidi, vantaggi economici;</w:t>
      </w:r>
    </w:p>
    <w:p w:rsidR="006440AE" w:rsidRDefault="00F6758F">
      <w:pPr>
        <w:numPr>
          <w:ilvl w:val="0"/>
          <w:numId w:val="13"/>
        </w:numPr>
        <w:jc w:val="both"/>
      </w:pPr>
      <w:r>
        <w:t>Altri contenuti.</w:t>
      </w:r>
    </w:p>
    <w:p w:rsidR="006440AE" w:rsidRDefault="006440AE">
      <w:pPr>
        <w:jc w:val="both"/>
      </w:pPr>
    </w:p>
    <w:p w:rsidR="006440AE" w:rsidRDefault="00F6758F">
      <w:pPr>
        <w:jc w:val="both"/>
      </w:pPr>
      <w:r>
        <w:t>L'amministrazione ha solo in parte realizzato l'informatizzazione del flusso per alimentare la pubblicazione dei dati nella sezione “Amministrazione trasparente”.</w:t>
      </w:r>
    </w:p>
    <w:p w:rsidR="006440AE" w:rsidRDefault="006440AE">
      <w:pPr>
        <w:jc w:val="both"/>
      </w:pPr>
    </w:p>
    <w:p w:rsidR="006440AE" w:rsidRDefault="00F6758F">
      <w:pPr>
        <w:jc w:val="both"/>
      </w:pPr>
      <w:r>
        <w:t>Il sito istituzionale, relativamente alla sezione “Amministrazione trasparente”, traccia il numero delle visite, in particolare nell’anno di riferimento del PTPCT o della sezione Anticorruzione e Trasparenza del PIAO, il numero totale delle visite al sito ammonta a 29909 e la sezione che ha ricevuto il numero maggiore di visite è stata "Bandi di concorso".</w:t>
      </w:r>
    </w:p>
    <w:p w:rsidR="006440AE" w:rsidRDefault="006440AE">
      <w:pPr>
        <w:jc w:val="both"/>
      </w:pPr>
    </w:p>
    <w:p w:rsidR="006440AE" w:rsidRDefault="00F6758F">
      <w:pPr>
        <w:jc w:val="both"/>
      </w:pPr>
      <w:r>
        <w:t>La procedura per la gestione delle richieste di accesso civico “semplice” è stata adottata e pubblicata sul sito istituzionale.</w:t>
      </w:r>
    </w:p>
    <w:p w:rsidR="006440AE" w:rsidRDefault="00F6758F">
      <w:pPr>
        <w:jc w:val="both"/>
      </w:pPr>
      <w:r>
        <w:t>Nell’anno di riferimento del PTPCT o della sezione Anticorruzione e Trasparenza del PIAO sono pervenute 2 richieste di accesso civico “semplice”.</w:t>
      </w:r>
    </w:p>
    <w:p w:rsidR="006440AE" w:rsidRDefault="006440AE">
      <w:pPr>
        <w:jc w:val="both"/>
      </w:pPr>
    </w:p>
    <w:p w:rsidR="006440AE" w:rsidRDefault="00F6758F">
      <w:pPr>
        <w:jc w:val="both"/>
      </w:pPr>
      <w:r>
        <w:t>La procedura per la gestione delle richieste di accesso civico “generalizzato” è stata adottata e pubblicata sul sito istituzionale.</w:t>
      </w:r>
    </w:p>
    <w:p w:rsidR="006440AE" w:rsidRDefault="00F6758F">
      <w:pPr>
        <w:jc w:val="both"/>
      </w:pPr>
      <w:r>
        <w:t>Nell’anno di riferimento del PTPCT o della sezione Anticorruzione e Trasparenza del PIAO sono pervenute:</w:t>
      </w:r>
    </w:p>
    <w:p w:rsidR="006440AE" w:rsidRDefault="00F6758F">
      <w:pPr>
        <w:numPr>
          <w:ilvl w:val="0"/>
          <w:numId w:val="14"/>
        </w:numPr>
        <w:jc w:val="both"/>
      </w:pPr>
      <w:r>
        <w:t>32 richieste con “informazione fornita all'utente”;</w:t>
      </w:r>
    </w:p>
    <w:p w:rsidR="006440AE" w:rsidRDefault="00F6758F">
      <w:pPr>
        <w:numPr>
          <w:ilvl w:val="0"/>
          <w:numId w:val="14"/>
        </w:numPr>
        <w:jc w:val="both"/>
      </w:pPr>
      <w:r>
        <w:t>8 richieste con “informazione non fornita all'utente”.</w:t>
      </w:r>
    </w:p>
    <w:p w:rsidR="006440AE" w:rsidRDefault="00F6758F">
      <w:pPr>
        <w:jc w:val="both"/>
      </w:pPr>
      <w:r>
        <w:t>Con riferimento alla casistica “informazione non fornita all'utente”, si riportano di seguito le motivazioni:</w:t>
      </w:r>
    </w:p>
    <w:p w:rsidR="006440AE" w:rsidRDefault="00F6758F">
      <w:pPr>
        <w:numPr>
          <w:ilvl w:val="0"/>
          <w:numId w:val="45"/>
        </w:numPr>
        <w:jc w:val="both"/>
      </w:pPr>
      <w:r>
        <w:t>Tutela riservatezza;</w:t>
      </w:r>
    </w:p>
    <w:p w:rsidR="006440AE" w:rsidRDefault="00F6758F">
      <w:pPr>
        <w:numPr>
          <w:ilvl w:val="0"/>
          <w:numId w:val="45"/>
        </w:numPr>
        <w:jc w:val="both"/>
      </w:pPr>
      <w:r>
        <w:t>Documenti non presenti in azienda;</w:t>
      </w:r>
    </w:p>
    <w:p w:rsidR="006440AE" w:rsidRDefault="00F6758F">
      <w:pPr>
        <w:numPr>
          <w:ilvl w:val="0"/>
          <w:numId w:val="45"/>
        </w:numPr>
        <w:jc w:val="both"/>
      </w:pPr>
      <w:r>
        <w:t>Documenti di competenza di altro ente;</w:t>
      </w:r>
    </w:p>
    <w:p w:rsidR="006440AE" w:rsidRDefault="00F6758F">
      <w:pPr>
        <w:numPr>
          <w:ilvl w:val="0"/>
          <w:numId w:val="45"/>
        </w:numPr>
        <w:jc w:val="both"/>
      </w:pPr>
      <w:r>
        <w:t>N°3 documenti archiviati per mancata integrazione dati o rinuncia dell'utente.</w:t>
      </w:r>
    </w:p>
    <w:p w:rsidR="006440AE" w:rsidRDefault="006440AE">
      <w:pPr>
        <w:jc w:val="both"/>
      </w:pPr>
    </w:p>
    <w:p w:rsidR="006440AE" w:rsidRDefault="00F6758F">
      <w:pPr>
        <w:jc w:val="both"/>
      </w:pPr>
      <w:r>
        <w:t>È stato istituito il registro degli accessi ed è stata rispettata l'indicazione che prevede di riportare nel registro l'esito delle istanze.</w:t>
      </w:r>
    </w:p>
    <w:p w:rsidR="006440AE" w:rsidRDefault="006440AE">
      <w:pPr>
        <w:jc w:val="both"/>
      </w:pPr>
    </w:p>
    <w:p w:rsidR="006440AE" w:rsidRDefault="00F6758F">
      <w:pPr>
        <w:jc w:val="both"/>
      </w:pPr>
      <w:r>
        <w:t>In merito al livello di adempimento degli obblighi di trasparenza, si formula il seguente giudizio: i monitoraggi evidenziano una generale applicazione delle misure di trasparenza previste dalla normativa vigente e dalle linee guida ANAC. Sono presenti margini di miglioramento nell'aggiornamento di alcune sezioni del sito Amministrazione Trasparente dovuti a: dimensione e articolazione aziendale, carichi di lavoro, effetti della riorganizzazione aziendale, modifiche normative nell'ambito dei contratti pubblici (D.lgs. 36/2023).</w:t>
      </w:r>
    </w:p>
    <w:p w:rsidR="006440AE" w:rsidRDefault="006440AE">
      <w:pPr>
        <w:jc w:val="both"/>
      </w:pPr>
    </w:p>
    <w:p w:rsidR="006440AE" w:rsidRDefault="00F6758F">
      <w:pPr>
        <w:jc w:val="both"/>
      </w:pPr>
      <w:r>
        <w:rPr>
          <w:noProof/>
        </w:rPr>
        <mc:AlternateContent>
          <mc:Choice Requires="wps">
            <w:drawing>
              <wp:anchor distT="635" distB="21590" distL="109220" distR="135890" simplePos="0" relativeHeight="251650560" behindDoc="0" locked="0" layoutInCell="0" allowOverlap="1" wp14:anchorId="2781585B" wp14:editId="282752F5">
                <wp:simplePos x="0" y="0"/>
                <wp:positionH relativeFrom="column">
                  <wp:posOffset>0</wp:posOffset>
                </wp:positionH>
                <wp:positionV relativeFrom="paragraph">
                  <wp:posOffset>71755</wp:posOffset>
                </wp:positionV>
                <wp:extent cx="6083935" cy="1367790"/>
                <wp:effectExtent l="3175" t="3175" r="3175" b="3175"/>
                <wp:wrapTopAndBottom/>
                <wp:docPr id="7" name="Casella di testo 10"/>
                <wp:cNvGraphicFramePr/>
                <a:graphic xmlns:a="http://schemas.openxmlformats.org/drawingml/2006/main">
                  <a:graphicData uri="http://schemas.microsoft.com/office/word/2010/wordprocessingShape">
                    <wps:wsp>
                      <wps:cNvSpPr/>
                      <wps:spPr>
                        <a:xfrm>
                          <a:off x="0" y="0"/>
                          <a:ext cx="6084000" cy="1367640"/>
                        </a:xfrm>
                        <a:prstGeom prst="rect">
                          <a:avLst/>
                        </a:prstGeom>
                        <a:solidFill>
                          <a:schemeClr val="accent5">
                            <a:lumMod val="20000"/>
                            <a:lumOff val="80000"/>
                          </a:schemeClr>
                        </a:solidFill>
                        <a:ln w="6350">
                          <a:solidFill>
                            <a:srgbClr val="000000"/>
                          </a:solidFill>
                          <a:round/>
                        </a:ln>
                      </wps:spPr>
                      <wps:style>
                        <a:lnRef idx="0">
                          <a:scrgbClr r="0" g="0" b="0"/>
                        </a:lnRef>
                        <a:fillRef idx="0">
                          <a:scrgbClr r="0" g="0" b="0"/>
                        </a:fillRef>
                        <a:effectRef idx="0">
                          <a:scrgbClr r="0" g="0" b="0"/>
                        </a:effectRef>
                        <a:fontRef idx="minor"/>
                      </wps:style>
                      <wps:txbx>
                        <w:txbxContent>
                          <w:p w:rsidR="00F6758F" w:rsidRDefault="00F6758F">
                            <w:pPr>
                              <w:pStyle w:val="Contenutocornice"/>
                              <w:rPr>
                                <w:color w:val="000000"/>
                              </w:rPr>
                            </w:pPr>
                            <w:r>
                              <w:rPr>
                                <w:color w:val="000000"/>
                              </w:rPr>
                              <w:t>Note del RPCT:</w:t>
                            </w:r>
                          </w:p>
                          <w:p w:rsidR="00F6758F" w:rsidRDefault="00F6758F">
                            <w:pPr>
                              <w:pStyle w:val="Contenutocornice"/>
                              <w:jc w:val="both"/>
                              <w:rPr>
                                <w:color w:val="000000"/>
                              </w:rPr>
                            </w:pPr>
                            <w:r>
                              <w:rPr>
                                <w:color w:val="000000"/>
                              </w:rPr>
                              <w:t>1) Il regolamento aziendale approvato con delibera n. 1206 del 26/08/2021 e successiva delibera di rettifica n. 453 del 15/04/2022, disciplina le modalità aziendali di esercizio delle tre tipologie di accesso (diritto di accesso agli atti o documentale ex Legge 241/90 e ss.mm.ii., diritto di accesso civico semplice ai sensi dell’art. 5, comma 1 del D.lgs. n. 33/2013, diritto di accesso civico generalizzato ai sensi dell’art. 5, comma 2 del D.lgs. 33/2013) ed i casi di esclusione e differimento.</w:t>
                            </w:r>
                          </w:p>
                        </w:txbxContent>
                      </wps:txbx>
                      <wps:bodyPr anchor="t">
                        <a:prstTxWarp prst="textNoShape">
                          <a:avLst/>
                        </a:prstTxWarp>
                        <a:noAutofit/>
                      </wps:bodyPr>
                    </wps:wsp>
                  </a:graphicData>
                </a:graphic>
              </wp:anchor>
            </w:drawing>
          </mc:Choice>
          <mc:Fallback>
            <w:pict>
              <v:rect w14:anchorId="2781585B" id="Casella di testo 10" o:spid="_x0000_s1032" style="position:absolute;left:0;text-align:left;margin-left:0;margin-top:5.65pt;width:479.05pt;height:107.7pt;z-index:251650560;visibility:visible;mso-wrap-style:square;mso-wrap-distance-left:8.6pt;mso-wrap-distance-top:.05pt;mso-wrap-distance-right:10.7pt;mso-wrap-distance-bottom:1.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" o:allowincell="f" fillcolor="#deeaf6 [664]" strokeweight=".5pt">
                <v:stroke joinstyle="round"/>
                <v:textbox>
                  <w:txbxContent>
                    <w:p w:rsidR="00F6758F" w:rsidRDefault="00F6758F">
                      <w:pPr>
                        <w:pStyle w:val="Contenutocornice"/>
                        <w:rPr>
                          <w:color w:val="000000"/>
                        </w:rPr>
                      </w:pPr>
                      <w:r>
                        <w:rPr>
                          <w:color w:val="000000"/>
                        </w:rPr>
                        <w:t>Note del RPCT:</w:t>
                      </w:r>
                    </w:p>
                    <w:p w:rsidR="00F6758F" w:rsidRDefault="00F6758F">
                      <w:pPr>
                        <w:pStyle w:val="Contenutocornice"/>
                        <w:jc w:val="both"/>
                        <w:rPr>
                          <w:color w:val="000000"/>
                        </w:rPr>
                      </w:pPr>
                      <w:r>
                        <w:rPr>
                          <w:color w:val="000000"/>
                        </w:rPr>
                        <w:t>1) Il regolamento aziendale approvato con delibera n. 1206 del 26/08/2021 e successiva delibera di rettifica n. 453 del 15/04/2022, disciplina le modalità aziendali di esercizio delle tre tipologie di accesso (diritto di accesso agli atti o documentale ex Legge 241/90 e ss.mm.ii., diritto di accesso civico semplice ai sensi dell’art. 5, comma 1 del D.lgs. n. 33/2013, diritto di accesso civico generalizzato ai sensi dell’art. 5, comma 2 del D.lgs. 33/2013) ed i casi di esclusione e differimento.</w:t>
                      </w:r>
                    </w:p>
                  </w:txbxContent>
                </v:textbox>
                <w10:wrap type="topAndBottom"/>
              </v:rect>
            </w:pict>
          </mc:Fallback>
        </mc:AlternateContent>
      </w:r>
    </w:p>
    <w:p w:rsidR="006440AE" w:rsidRDefault="00F6758F">
      <w:pPr>
        <w:pStyle w:val="Titolo2"/>
      </w:pPr>
      <w:bookmarkStart w:id="14" w:name="_Toc189121498"/>
      <w:r>
        <w:t>Pantouflage</w:t>
      </w:r>
      <w:bookmarkEnd w:id="14"/>
    </w:p>
    <w:p w:rsidR="006440AE" w:rsidRDefault="006440AE"/>
    <w:p w:rsidR="006440AE" w:rsidRDefault="00F6758F">
      <w:pPr>
        <w:jc w:val="both"/>
      </w:pPr>
      <w:r>
        <w:t>La misura “Svolgimento di attività successiva alla cessazione del rapporto di lavoro” è stata attuata e sono state effettuate 126 verifiche dalle quali non sono state accertate violazioni.</w:t>
      </w:r>
    </w:p>
    <w:p w:rsidR="006440AE" w:rsidRDefault="006440AE"/>
    <w:p w:rsidR="006440AE" w:rsidRDefault="006440AE"/>
    <w:p w:rsidR="006440AE" w:rsidRDefault="006440AE"/>
    <w:p w:rsidR="006440AE" w:rsidRDefault="00F6758F">
      <w:r>
        <w:rPr>
          <w:noProof/>
        </w:rPr>
        <mc:AlternateContent>
          <mc:Choice Requires="wps">
            <w:drawing>
              <wp:anchor distT="635" distB="22225" distL="111125" distR="133985" simplePos="0" relativeHeight="251651584" behindDoc="0" locked="0" layoutInCell="0" allowOverlap="1" wp14:anchorId="07A647D1" wp14:editId="111DC2FE">
                <wp:simplePos x="0" y="0"/>
                <wp:positionH relativeFrom="column">
                  <wp:posOffset>0</wp:posOffset>
                </wp:positionH>
                <wp:positionV relativeFrom="paragraph">
                  <wp:posOffset>-287020</wp:posOffset>
                </wp:positionV>
                <wp:extent cx="6120130" cy="539750"/>
                <wp:effectExtent l="3175" t="3175" r="3175" b="3175"/>
                <wp:wrapTopAndBottom/>
                <wp:docPr id="8" name="Casella di testo 11"/>
                <wp:cNvGraphicFramePr/>
                <a:graphic xmlns:a="http://schemas.openxmlformats.org/drawingml/2006/main">
                  <a:graphicData uri="http://schemas.microsoft.com/office/word/2010/wordprocessingShape">
                    <wps:wsp>
                      <wps:cNvSpPr/>
                      <wps:spPr>
                        <a:xfrm>
                          <a:off x="0" y="0"/>
                          <a:ext cx="6120000" cy="539640"/>
                        </a:xfrm>
                        <a:prstGeom prst="rect">
                          <a:avLst/>
                        </a:prstGeom>
                        <a:solidFill>
                          <a:schemeClr val="accent5">
                            <a:lumMod val="20000"/>
                            <a:lumOff val="80000"/>
                          </a:schemeClr>
                        </a:solidFill>
                        <a:ln w="6350">
                          <a:solidFill>
                            <a:srgbClr val="000000"/>
                          </a:solidFill>
                          <a:round/>
                        </a:ln>
                      </wps:spPr>
                      <wps:style>
                        <a:lnRef idx="0">
                          <a:scrgbClr r="0" g="0" b="0"/>
                        </a:lnRef>
                        <a:fillRef idx="0">
                          <a:scrgbClr r="0" g="0" b="0"/>
                        </a:fillRef>
                        <a:effectRef idx="0">
                          <a:scrgbClr r="0" g="0" b="0"/>
                        </a:effectRef>
                        <a:fontRef idx="minor"/>
                      </wps:style>
                      <wps:txbx>
                        <w:txbxContent>
                          <w:p w:rsidR="00F6758F" w:rsidRDefault="00F6758F">
                            <w:pPr>
                              <w:pStyle w:val="Contenutocornice"/>
                              <w:rPr>
                                <w:color w:val="000000"/>
                              </w:rPr>
                            </w:pPr>
                            <w:r>
                              <w:rPr>
                                <w:color w:val="000000"/>
                              </w:rPr>
                              <w:t>Note del RPCT:</w:t>
                            </w:r>
                          </w:p>
                          <w:p w:rsidR="00F6758F" w:rsidRDefault="00F6758F">
                            <w:pPr>
                              <w:pStyle w:val="Contenutocornice"/>
                              <w:rPr>
                                <w:color w:val="000000"/>
                              </w:rPr>
                            </w:pPr>
                            <w:r>
                              <w:rPr>
                                <w:color w:val="000000"/>
                              </w:rPr>
                              <w:t>nessuna</w:t>
                            </w:r>
                          </w:p>
                        </w:txbxContent>
                      </wps:txbx>
                      <wps:bodyPr anchor="t">
                        <a:prstTxWarp prst="textNoShape">
                          <a:avLst/>
                        </a:prstTxWarp>
                        <a:noAutofit/>
                      </wps:bodyPr>
                    </wps:wsp>
                  </a:graphicData>
                </a:graphic>
              </wp:anchor>
            </w:drawing>
          </mc:Choice>
          <mc:Fallback>
            <w:pict>
              <v:rect w14:anchorId="07A647D1" id="Casella di testo 11" o:spid="_x0000_s1033" style="position:absolute;margin-left:0;margin-top:-22.6pt;width:481.9pt;height:42.5pt;z-index:251651584;visibility:visible;mso-wrap-style:square;mso-wrap-distance-left:8.75pt;mso-wrap-distance-top:.05pt;mso-wrap-distance-right:10.55pt;mso-wrap-distance-bottom:1.7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" o:allowincell="f" fillcolor="#deeaf6 [664]" strokeweight=".5pt">
                <v:stroke joinstyle="round"/>
                <v:textbox>
                  <w:txbxContent>
                    <w:p w:rsidR="00F6758F" w:rsidRDefault="00F6758F">
                      <w:pPr>
                        <w:pStyle w:val="Contenutocornice"/>
                        <w:rPr>
                          <w:color w:val="000000"/>
                        </w:rPr>
                      </w:pPr>
                      <w:r>
                        <w:rPr>
                          <w:color w:val="000000"/>
                        </w:rPr>
                        <w:t>Note del RPCT:</w:t>
                      </w:r>
                    </w:p>
                    <w:p w:rsidR="00F6758F" w:rsidRDefault="00F6758F">
                      <w:pPr>
                        <w:pStyle w:val="Contenutocornice"/>
                        <w:rPr>
                          <w:color w:val="000000"/>
                        </w:rPr>
                      </w:pPr>
                      <w:r>
                        <w:rPr>
                          <w:color w:val="000000"/>
                        </w:rPr>
                        <w:t>nessuna</w:t>
                      </w:r>
                    </w:p>
                  </w:txbxContent>
                </v:textbox>
                <w10:wrap type="topAndBottom"/>
              </v:rect>
            </w:pict>
          </mc:Fallback>
        </mc:AlternateContent>
      </w:r>
    </w:p>
    <w:p w:rsidR="006440AE" w:rsidRDefault="00F6758F">
      <w:pPr>
        <w:pStyle w:val="Titolo2"/>
      </w:pPr>
      <w:bookmarkStart w:id="15" w:name="_Toc189121499"/>
      <w:r>
        <w:t>Commissioni e conferimento incarichi in caso di condanna</w:t>
      </w:r>
      <w:bookmarkEnd w:id="15"/>
    </w:p>
    <w:p w:rsidR="006440AE" w:rsidRDefault="006440AE">
      <w:pPr>
        <w:jc w:val="both"/>
      </w:pPr>
    </w:p>
    <w:p w:rsidR="006440AE" w:rsidRDefault="00F6758F">
      <w:pPr>
        <w:jc w:val="both"/>
      </w:pPr>
      <w:r>
        <w:t>Non sono pervenute segnalazioni relative alla violazione dei divieti contenuti nell’art. 35 bis del D.lgs. n. 165/2001 (partecipazione a commissioni e assegnazioni agli uffici ai soggetti condannati, anche con sentenza non passata in giudicato, per i reati di cui al Capo I, Titolo II, Libro II, c.p.).</w:t>
      </w:r>
    </w:p>
    <w:p w:rsidR="006440AE" w:rsidRDefault="006440AE">
      <w:pPr>
        <w:jc w:val="both"/>
      </w:pPr>
    </w:p>
    <w:p w:rsidR="006440AE" w:rsidRDefault="00F6758F">
      <w:pPr>
        <w:jc w:val="both"/>
      </w:pPr>
      <w:r>
        <w:rPr>
          <w:noProof/>
        </w:rPr>
        <mc:AlternateContent>
          <mc:Choice Requires="wps">
            <w:drawing>
              <wp:anchor distT="635" distB="22860" distL="111125" distR="133985" simplePos="0" relativeHeight="251652608" behindDoc="0" locked="0" layoutInCell="0" allowOverlap="1" wp14:anchorId="3DCE483D" wp14:editId="2DB62E51">
                <wp:simplePos x="0" y="0"/>
                <wp:positionH relativeFrom="column">
                  <wp:posOffset>0</wp:posOffset>
                </wp:positionH>
                <wp:positionV relativeFrom="paragraph">
                  <wp:posOffset>72390</wp:posOffset>
                </wp:positionV>
                <wp:extent cx="6120130" cy="539750"/>
                <wp:effectExtent l="3175" t="3175" r="3175" b="3175"/>
                <wp:wrapTopAndBottom/>
                <wp:docPr id="9" name="Casella di testo 12"/>
                <wp:cNvGraphicFramePr/>
                <a:graphic xmlns:a="http://schemas.openxmlformats.org/drawingml/2006/main">
                  <a:graphicData uri="http://schemas.microsoft.com/office/word/2010/wordprocessingShape">
                    <wps:wsp>
                      <wps:cNvSpPr/>
                      <wps:spPr>
                        <a:xfrm>
                          <a:off x="0" y="0"/>
                          <a:ext cx="6120000" cy="539640"/>
                        </a:xfrm>
                        <a:prstGeom prst="rect">
                          <a:avLst/>
                        </a:prstGeom>
                        <a:solidFill>
                          <a:schemeClr val="accent5">
                            <a:lumMod val="20000"/>
                            <a:lumOff val="80000"/>
                          </a:schemeClr>
                        </a:solidFill>
                        <a:ln w="6350">
                          <a:solidFill>
                            <a:srgbClr val="000000"/>
                          </a:solidFill>
                          <a:round/>
                        </a:ln>
                      </wps:spPr>
                      <wps:style>
                        <a:lnRef idx="0">
                          <a:scrgbClr r="0" g="0" b="0"/>
                        </a:lnRef>
                        <a:fillRef idx="0">
                          <a:scrgbClr r="0" g="0" b="0"/>
                        </a:fillRef>
                        <a:effectRef idx="0">
                          <a:scrgbClr r="0" g="0" b="0"/>
                        </a:effectRef>
                        <a:fontRef idx="minor"/>
                      </wps:style>
                      <wps:txbx>
                        <w:txbxContent>
                          <w:p w:rsidR="00F6758F" w:rsidRDefault="00F6758F">
                            <w:pPr>
                              <w:pStyle w:val="Contenutocornice"/>
                              <w:rPr>
                                <w:color w:val="000000"/>
                              </w:rPr>
                            </w:pPr>
                            <w:r>
                              <w:rPr>
                                <w:color w:val="000000"/>
                              </w:rPr>
                              <w:t>Note del RPCT:</w:t>
                            </w:r>
                          </w:p>
                          <w:p w:rsidR="00F6758F" w:rsidRDefault="00F6758F">
                            <w:pPr>
                              <w:pStyle w:val="Contenutocornice"/>
                              <w:rPr>
                                <w:color w:val="000000"/>
                              </w:rPr>
                            </w:pPr>
                            <w:r>
                              <w:rPr>
                                <w:color w:val="000000"/>
                              </w:rPr>
                              <w:t>Nessuna</w:t>
                            </w:r>
                          </w:p>
                        </w:txbxContent>
                      </wps:txbx>
                      <wps:bodyPr anchor="t">
                        <a:prstTxWarp prst="textNoShape">
                          <a:avLst/>
                        </a:prstTxWarp>
                        <a:noAutofit/>
                      </wps:bodyPr>
                    </wps:wsp>
                  </a:graphicData>
                </a:graphic>
              </wp:anchor>
            </w:drawing>
          </mc:Choice>
          <mc:Fallback>
            <w:pict>
              <v:rect w14:anchorId="3DCE483D" id="Casella di testo 12" o:spid="_x0000_s1034" style="position:absolute;left:0;text-align:left;margin-left:0;margin-top:5.7pt;width:481.9pt;height:42.5pt;z-index:251652608;visibility:visible;mso-wrap-style:square;mso-wrap-distance-left:8.75pt;mso-wrap-distance-top:.05pt;mso-wrap-distance-right:10.55pt;mso-wrap-distance-bottom:1.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" o:allowincell="f" fillcolor="#deeaf6 [664]" strokeweight=".5pt">
                <v:stroke joinstyle="round"/>
                <v:textbox>
                  <w:txbxContent>
                    <w:p w:rsidR="00F6758F" w:rsidRDefault="00F6758F">
                      <w:pPr>
                        <w:pStyle w:val="Contenutocornice"/>
                        <w:rPr>
                          <w:color w:val="000000"/>
                        </w:rPr>
                      </w:pPr>
                      <w:r>
                        <w:rPr>
                          <w:color w:val="000000"/>
                        </w:rPr>
                        <w:t>Note del RPCT:</w:t>
                      </w:r>
                    </w:p>
                    <w:p w:rsidR="00F6758F" w:rsidRDefault="00F6758F">
                      <w:pPr>
                        <w:pStyle w:val="Contenutocornice"/>
                        <w:rPr>
                          <w:color w:val="000000"/>
                        </w:rPr>
                      </w:pPr>
                      <w:r>
                        <w:rPr>
                          <w:color w:val="000000"/>
                        </w:rPr>
                        <w:t>Nessuna</w:t>
                      </w:r>
                    </w:p>
                  </w:txbxContent>
                </v:textbox>
                <w10:wrap type="topAndBottom"/>
              </v:rect>
            </w:pict>
          </mc:Fallback>
        </mc:AlternateContent>
      </w:r>
    </w:p>
    <w:p w:rsidR="006440AE" w:rsidRDefault="00F6758F">
      <w:pPr>
        <w:pStyle w:val="Titolo2"/>
      </w:pPr>
      <w:bookmarkStart w:id="16" w:name="_Toc189121500"/>
      <w:r>
        <w:t>Patti di integrità</w:t>
      </w:r>
      <w:bookmarkEnd w:id="16"/>
    </w:p>
    <w:p w:rsidR="006440AE" w:rsidRDefault="006440AE"/>
    <w:p w:rsidR="006440AE" w:rsidRDefault="00F6758F">
      <w:pPr>
        <w:jc w:val="both"/>
      </w:pPr>
      <w:r>
        <w:t>Sono stati predisposti e utilizzati protocolli di legalità o patti d’integrità per l’affidamento di commesse.</w:t>
      </w:r>
    </w:p>
    <w:p w:rsidR="006440AE" w:rsidRDefault="006440AE">
      <w:pPr>
        <w:jc w:val="both"/>
      </w:pPr>
    </w:p>
    <w:p w:rsidR="006440AE" w:rsidRDefault="00F6758F">
      <w:pPr>
        <w:jc w:val="both"/>
      </w:pPr>
      <w:r>
        <w:t>Le clausole dei Patti di Integrità o protocolli di legalità sono state inserite in 20 bandi rispetto al totale dei bandi predisposti nell’anno di riferimento del PTPCT o dalla sezione Anticorruzione e Trasparenza del PIAO in esame.</w:t>
      </w:r>
    </w:p>
    <w:p w:rsidR="006440AE" w:rsidRDefault="006440AE">
      <w:pPr>
        <w:jc w:val="both"/>
      </w:pPr>
    </w:p>
    <w:p w:rsidR="006440AE" w:rsidRDefault="00F6758F">
      <w:pPr>
        <w:jc w:val="both"/>
      </w:pPr>
      <w:bookmarkStart w:id="17" w:name="_Hlk88649032"/>
      <w:r>
        <w:t>Sono state previste clausole sul rispetto dei Patti di Integrità, in 226 contratti tra quelli stipulati nell’anno di riferimento del PTPCT o dalla sezione Anticorruzione e Trasparenza del PIAO in esame.</w:t>
      </w:r>
      <w:bookmarkEnd w:id="17"/>
    </w:p>
    <w:p w:rsidR="006440AE" w:rsidRDefault="006440AE">
      <w:pPr>
        <w:rPr>
          <w:color w:val="000000" w:themeColor="text1"/>
        </w:rPr>
      </w:pPr>
    </w:p>
    <w:p w:rsidR="006440AE" w:rsidRDefault="00F6758F">
      <w:r>
        <w:rPr>
          <w:noProof/>
        </w:rPr>
        <mc:AlternateContent>
          <mc:Choice Requires="wps">
            <w:drawing>
              <wp:anchor distT="0" distB="23495" distL="111125" distR="133985" simplePos="0" relativeHeight="251653632" behindDoc="0" locked="0" layoutInCell="0" allowOverlap="1" wp14:anchorId="411BB151" wp14:editId="5E6E4CBC">
                <wp:simplePos x="0" y="0"/>
                <wp:positionH relativeFrom="column">
                  <wp:posOffset>0</wp:posOffset>
                </wp:positionH>
                <wp:positionV relativeFrom="paragraph">
                  <wp:posOffset>72390</wp:posOffset>
                </wp:positionV>
                <wp:extent cx="6120130" cy="539750"/>
                <wp:effectExtent l="3175" t="3175" r="3175" b="3175"/>
                <wp:wrapTopAndBottom/>
                <wp:docPr id="10" name="Casella di testo 13"/>
                <wp:cNvGraphicFramePr/>
                <a:graphic xmlns:a="http://schemas.openxmlformats.org/drawingml/2006/main">
                  <a:graphicData uri="http://schemas.microsoft.com/office/word/2010/wordprocessingShape">
                    <wps:wsp>
                      <wps:cNvSpPr/>
                      <wps:spPr>
                        <a:xfrm>
                          <a:off x="0" y="0"/>
                          <a:ext cx="6120000" cy="539640"/>
                        </a:xfrm>
                        <a:prstGeom prst="rect">
                          <a:avLst/>
                        </a:prstGeom>
                        <a:solidFill>
                          <a:schemeClr val="accent5">
                            <a:lumMod val="20000"/>
                            <a:lumOff val="80000"/>
                          </a:schemeClr>
                        </a:solidFill>
                        <a:ln w="6350">
                          <a:solidFill>
                            <a:srgbClr val="000000"/>
                          </a:solidFill>
                          <a:round/>
                        </a:ln>
                      </wps:spPr>
                      <wps:style>
                        <a:lnRef idx="0">
                          <a:scrgbClr r="0" g="0" b="0"/>
                        </a:lnRef>
                        <a:fillRef idx="0">
                          <a:scrgbClr r="0" g="0" b="0"/>
                        </a:fillRef>
                        <a:effectRef idx="0">
                          <a:scrgbClr r="0" g="0" b="0"/>
                        </a:effectRef>
                        <a:fontRef idx="minor"/>
                      </wps:style>
                      <wps:txbx>
                        <w:txbxContent>
                          <w:p w:rsidR="00F6758F" w:rsidRDefault="00F6758F">
                            <w:pPr>
                              <w:pStyle w:val="Contenutocornice"/>
                              <w:rPr>
                                <w:color w:val="000000"/>
                              </w:rPr>
                            </w:pPr>
                            <w:r>
                              <w:rPr>
                                <w:color w:val="000000"/>
                              </w:rPr>
                              <w:t>Note del RPCT:</w:t>
                            </w:r>
                          </w:p>
                          <w:p w:rsidR="00F6758F" w:rsidRDefault="00F6758F">
                            <w:pPr>
                              <w:pStyle w:val="Contenutocornice"/>
                              <w:rPr>
                                <w:color w:val="000000"/>
                              </w:rPr>
                            </w:pPr>
                            <w:r>
                              <w:rPr>
                                <w:color w:val="000000"/>
                              </w:rPr>
                              <w:t>Nessuna</w:t>
                            </w:r>
                          </w:p>
                        </w:txbxContent>
                      </wps:txbx>
                      <wps:bodyPr anchor="t">
                        <a:prstTxWarp prst="textNoShape">
                          <a:avLst/>
                        </a:prstTxWarp>
                        <a:noAutofit/>
                      </wps:bodyPr>
                    </wps:wsp>
                  </a:graphicData>
                </a:graphic>
              </wp:anchor>
            </w:drawing>
          </mc:Choice>
          <mc:Fallback>
            <w:pict>
              <v:rect w14:anchorId="411BB151" id="Casella di testo 13" o:spid="_x0000_s1035" style="position:absolute;margin-left:0;margin-top:5.7pt;width:481.9pt;height:42.5pt;z-index:251653632;visibility:visible;mso-wrap-style:square;mso-wrap-distance-left:8.75pt;mso-wrap-distance-top:0;mso-wrap-distance-right:10.55pt;mso-wrap-distance-bottom:1.8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" o:allowincell="f" fillcolor="#deeaf6 [664]" strokeweight=".5pt">
                <v:stroke joinstyle="round"/>
                <v:textbox>
                  <w:txbxContent>
                    <w:p w:rsidR="00F6758F" w:rsidRDefault="00F6758F">
                      <w:pPr>
                        <w:pStyle w:val="Contenutocornice"/>
                        <w:rPr>
                          <w:color w:val="000000"/>
                        </w:rPr>
                      </w:pPr>
                      <w:r>
                        <w:rPr>
                          <w:color w:val="000000"/>
                        </w:rPr>
                        <w:t>Note del RPCT:</w:t>
                      </w:r>
                    </w:p>
                    <w:p w:rsidR="00F6758F" w:rsidRDefault="00F6758F">
                      <w:pPr>
                        <w:pStyle w:val="Contenutocornice"/>
                        <w:rPr>
                          <w:color w:val="000000"/>
                        </w:rPr>
                      </w:pPr>
                      <w:r>
                        <w:rPr>
                          <w:color w:val="000000"/>
                        </w:rPr>
                        <w:t>Nessuna</w:t>
                      </w:r>
                    </w:p>
                  </w:txbxContent>
                </v:textbox>
                <w10:wrap type="topAndBottom"/>
              </v:rect>
            </w:pict>
          </mc:Fallback>
        </mc:AlternateContent>
      </w:r>
    </w:p>
    <w:p w:rsidR="006440AE" w:rsidRDefault="00F6758F">
      <w:pPr>
        <w:pStyle w:val="Titolo2"/>
      </w:pPr>
      <w:bookmarkStart w:id="18" w:name="_Toc189121501"/>
      <w:r>
        <w:t>Rapporti con i portatori di interessi particolari</w:t>
      </w:r>
      <w:bookmarkEnd w:id="18"/>
    </w:p>
    <w:p w:rsidR="006440AE" w:rsidRDefault="006440AE"/>
    <w:p w:rsidR="006440AE" w:rsidRDefault="00F6758F">
      <w:pPr>
        <w:jc w:val="both"/>
      </w:pPr>
      <w:r>
        <w:t>La misura “Rapporti con i portatori di interessi particolari” non è stata programmata nel PTPCT o nella sezione Anticorruzione e Trasparenza del PIAO in esame o, laddove la misura sia stata già adottata negli anni precedenti, non si prevede di realizzare interventi idonei a garantire la corretta e continua attuazione della stessa.</w:t>
      </w:r>
    </w:p>
    <w:p w:rsidR="006440AE" w:rsidRDefault="006440AE"/>
    <w:p w:rsidR="006440AE" w:rsidRDefault="006440AE"/>
    <w:p w:rsidR="006440AE" w:rsidRDefault="006440AE"/>
    <w:p w:rsidR="006440AE" w:rsidRDefault="00F6758F">
      <w:r>
        <w:rPr>
          <w:noProof/>
        </w:rPr>
        <mc:AlternateContent>
          <mc:Choice Requires="wps">
            <w:drawing>
              <wp:anchor distT="0" distB="25400" distL="111125" distR="133985" simplePos="0" relativeHeight="251670016" behindDoc="0" locked="0" layoutInCell="0" allowOverlap="1" wp14:anchorId="4882C01B" wp14:editId="5B10B6A8">
                <wp:simplePos x="0" y="0"/>
                <wp:positionH relativeFrom="column">
                  <wp:posOffset>0</wp:posOffset>
                </wp:positionH>
                <wp:positionV relativeFrom="paragraph">
                  <wp:posOffset>-287020</wp:posOffset>
                </wp:positionV>
                <wp:extent cx="6120130" cy="1735455"/>
                <wp:effectExtent l="3175" t="3175" r="3175" b="3175"/>
                <wp:wrapTopAndBottom/>
                <wp:docPr id="11" name="Casella di testo 20"/>
                <wp:cNvGraphicFramePr/>
                <a:graphic xmlns:a="http://schemas.openxmlformats.org/drawingml/2006/main">
                  <a:graphicData uri="http://schemas.microsoft.com/office/word/2010/wordprocessingShape">
                    <wps:wsp>
                      <wps:cNvSpPr/>
                      <wps:spPr>
                        <a:xfrm>
                          <a:off x="0" y="0"/>
                          <a:ext cx="6120000" cy="1735560"/>
                        </a:xfrm>
                        <a:prstGeom prst="rect">
                          <a:avLst/>
                        </a:prstGeom>
                        <a:solidFill>
                          <a:schemeClr val="accent5">
                            <a:lumMod val="20000"/>
                            <a:lumOff val="80000"/>
                          </a:schemeClr>
                        </a:solidFill>
                        <a:ln w="6350">
                          <a:solidFill>
                            <a:srgbClr val="000000"/>
                          </a:solidFill>
                          <a:round/>
                        </a:ln>
                      </wps:spPr>
                      <wps:style>
                        <a:lnRef idx="0">
                          <a:scrgbClr r="0" g="0" b="0"/>
                        </a:lnRef>
                        <a:fillRef idx="0">
                          <a:scrgbClr r="0" g="0" b="0"/>
                        </a:fillRef>
                        <a:effectRef idx="0">
                          <a:scrgbClr r="0" g="0" b="0"/>
                        </a:effectRef>
                        <a:fontRef idx="minor"/>
                      </wps:style>
                      <wps:txbx>
                        <w:txbxContent>
                          <w:p w:rsidR="00F6758F" w:rsidRDefault="00F6758F">
                            <w:pPr>
                              <w:pStyle w:val="Contenutocornice"/>
                              <w:rPr>
                                <w:color w:val="000000"/>
                              </w:rPr>
                            </w:pPr>
                            <w:r>
                              <w:rPr>
                                <w:color w:val="000000"/>
                              </w:rPr>
                              <w:t>Note del RPCT:</w:t>
                            </w:r>
                          </w:p>
                          <w:p w:rsidR="00F6758F" w:rsidRDefault="00F6758F">
                            <w:pPr>
                              <w:pStyle w:val="Contenutocornice"/>
                              <w:jc w:val="both"/>
                              <w:rPr>
                                <w:color w:val="000000"/>
                              </w:rPr>
                            </w:pPr>
                            <w:r>
                              <w:rPr>
                                <w:color w:val="000000"/>
                              </w:rPr>
                              <w:t>1) L’analisi dei rapporti con portatori di interessi particolari è effettuata durante l’analisi dei processi aziendali nell’ambito della gestione del rischio corruzione. Eventuali ulteriori misure specifiche di prevenzione sono previste all’esito del processo di valutazione del rischio. Ad esempio, nel 2024, in seguito ad alcune segnalazioni whistleblowing, è stato analizzato il processo “</w:t>
                            </w:r>
                            <w:r>
                              <w:rPr>
                                <w:i/>
                                <w:iCs/>
                                <w:color w:val="000000"/>
                              </w:rPr>
                              <w:t>APBESE006 - Gestione amministrativa accordi con strutture sanitarie private accreditate</w:t>
                            </w:r>
                            <w:r>
                              <w:rPr>
                                <w:color w:val="000000"/>
                              </w:rPr>
                              <w:t>” e come misura specifica di prevenzione è stata adottata la “</w:t>
                            </w:r>
                            <w:r>
                              <w:rPr>
                                <w:i/>
                                <w:iCs/>
                                <w:color w:val="000000"/>
                              </w:rPr>
                              <w:t>Procedura per l’individuazione e la gestione delle situazioni di incompatibilità e pantouflage nei rapporti con soggetti privati accreditati (PA.STDA.01)</w:t>
                            </w:r>
                            <w:r>
                              <w:rPr>
                                <w:color w:val="000000"/>
                              </w:rPr>
                              <w:t>”.</w:t>
                            </w:r>
                          </w:p>
                        </w:txbxContent>
                      </wps:txbx>
                      <wps:bodyPr anchor="t">
                        <a:prstTxWarp prst="textNoShape">
                          <a:avLst/>
                        </a:prstTxWarp>
                        <a:noAutofit/>
                      </wps:bodyPr>
                    </wps:wsp>
                  </a:graphicData>
                </a:graphic>
              </wp:anchor>
            </w:drawing>
          </mc:Choice>
          <mc:Fallback>
            <w:pict>
              <v:rect w14:anchorId="4882C01B" id="Casella di testo 20" o:spid="_x0000_s1036" style="position:absolute;margin-left:0;margin-top:-22.6pt;width:481.9pt;height:136.65pt;z-index:251670016;visibility:visible;mso-wrap-style:square;mso-wrap-distance-left:8.75pt;mso-wrap-distance-top:0;mso-wrap-distance-right:10.55pt;mso-wrap-distance-bottom: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" o:allowincell="f" fillcolor="#deeaf6 [664]" strokeweight=".5pt">
                <v:stroke joinstyle="round"/>
                <v:textbox>
                  <w:txbxContent>
                    <w:p w:rsidR="00F6758F" w:rsidRDefault="00F6758F">
                      <w:pPr>
                        <w:pStyle w:val="Contenutocornice"/>
                        <w:rPr>
                          <w:color w:val="000000"/>
                        </w:rPr>
                      </w:pPr>
                      <w:r>
                        <w:rPr>
                          <w:color w:val="000000"/>
                        </w:rPr>
                        <w:t>Note del RPCT:</w:t>
                      </w:r>
                    </w:p>
                    <w:p w:rsidR="00F6758F" w:rsidRDefault="00F6758F">
                      <w:pPr>
                        <w:pStyle w:val="Contenutocornice"/>
                        <w:jc w:val="both"/>
                        <w:rPr>
                          <w:color w:val="000000"/>
                        </w:rPr>
                      </w:pPr>
                      <w:r>
                        <w:rPr>
                          <w:color w:val="000000"/>
                        </w:rPr>
                        <w:t>1) L’analisi dei rapporti con portatori di interessi particolari è effettuata durante l’analisi dei processi aziendali nell’ambito della gestione del rischio corruzione. Eventuali ulteriori misure specifiche di prevenzione sono previste all’esito del processo di valutazione del rischio. Ad esempio, nel 2024, in seguito ad alcune segnalazioni whistleblowing, è stato analizzato il processo “</w:t>
                      </w:r>
                      <w:r>
                        <w:rPr>
                          <w:i/>
                          <w:iCs/>
                          <w:color w:val="000000"/>
                        </w:rPr>
                        <w:t>APBESE006 - Gestione amministrativa accordi con strutture sanitarie private accreditate</w:t>
                      </w:r>
                      <w:r>
                        <w:rPr>
                          <w:color w:val="000000"/>
                        </w:rPr>
                        <w:t>” e come misura specifica di prevenzione è stata adottata la “</w:t>
                      </w:r>
                      <w:r>
                        <w:rPr>
                          <w:i/>
                          <w:iCs/>
                          <w:color w:val="000000"/>
                        </w:rPr>
                        <w:t>Procedura per l’individuazione e la gestione delle situazioni di incompatibilità e pantouflage nei rapporti con soggetti privati accreditati (PA.STDA.01)</w:t>
                      </w:r>
                      <w:r>
                        <w:rPr>
                          <w:color w:val="000000"/>
                        </w:rPr>
                        <w:t>”.</w:t>
                      </w:r>
                    </w:p>
                  </w:txbxContent>
                </v:textbox>
                <w10:wrap type="topAndBottom"/>
              </v:rect>
            </w:pict>
          </mc:Fallback>
        </mc:AlternateContent>
      </w:r>
    </w:p>
    <w:p w:rsidR="006440AE" w:rsidRDefault="00F6758F">
      <w:pPr>
        <w:pStyle w:val="Titolo2"/>
      </w:pPr>
      <w:bookmarkStart w:id="19" w:name="_Toc189121502"/>
      <w:r>
        <w:t>Considerazioni conclusive sull’attuazione delle misure generali</w:t>
      </w:r>
      <w:bookmarkEnd w:id="19"/>
    </w:p>
    <w:p w:rsidR="006440AE" w:rsidRDefault="006440AE"/>
    <w:p w:rsidR="006440AE" w:rsidRDefault="00F6758F">
      <w:pPr>
        <w:jc w:val="both"/>
      </w:pPr>
      <w:r>
        <w:t>Il complesso delle misure attuate ha avuto un effetto (diretto o indiretto):</w:t>
      </w:r>
    </w:p>
    <w:p w:rsidR="006440AE" w:rsidRDefault="00F6758F">
      <w:pPr>
        <w:numPr>
          <w:ilvl w:val="0"/>
          <w:numId w:val="15"/>
        </w:numPr>
        <w:jc w:val="both"/>
      </w:pPr>
      <w:r>
        <w:t>neutrale sulla qualità dei servizi;</w:t>
      </w:r>
    </w:p>
    <w:p w:rsidR="006440AE" w:rsidRDefault="00F6758F">
      <w:pPr>
        <w:numPr>
          <w:ilvl w:val="0"/>
          <w:numId w:val="15"/>
        </w:numPr>
        <w:jc w:val="both"/>
      </w:pPr>
      <w:r>
        <w:t>neutrale sull'efficienza dei servizi (es. in termini di riduzione dei tempi di erogazione dei servizi);</w:t>
      </w:r>
    </w:p>
    <w:p w:rsidR="006440AE" w:rsidRDefault="00F6758F">
      <w:pPr>
        <w:numPr>
          <w:ilvl w:val="0"/>
          <w:numId w:val="15"/>
        </w:numPr>
        <w:jc w:val="both"/>
      </w:pPr>
      <w:r>
        <w:t>negativo sul funzionamento dell'amministrazione (es. in termini di semplificazione / snellimento delle procedure);</w:t>
      </w:r>
    </w:p>
    <w:p w:rsidR="006440AE" w:rsidRDefault="00F6758F">
      <w:pPr>
        <w:numPr>
          <w:ilvl w:val="0"/>
          <w:numId w:val="15"/>
        </w:numPr>
        <w:jc w:val="both"/>
      </w:pPr>
      <w:r>
        <w:t>positivo sulla diffusione della cultura della legalità;</w:t>
      </w:r>
    </w:p>
    <w:p w:rsidR="006440AE" w:rsidRDefault="00F6758F">
      <w:pPr>
        <w:numPr>
          <w:ilvl w:val="0"/>
          <w:numId w:val="15"/>
        </w:numPr>
        <w:jc w:val="both"/>
      </w:pPr>
      <w:r>
        <w:t>neutrale sulle relazioni con i cittadini;</w:t>
      </w:r>
    </w:p>
    <w:p w:rsidR="006440AE" w:rsidRDefault="00F6758F">
      <w:pPr>
        <w:numPr>
          <w:ilvl w:val="0"/>
          <w:numId w:val="15"/>
        </w:numPr>
        <w:jc w:val="both"/>
      </w:pPr>
      <w:r>
        <w:t>neutrale su altro perché non abbiamo altri elementi oggettivi di valutazione.</w:t>
      </w:r>
    </w:p>
    <w:p w:rsidR="006440AE" w:rsidRDefault="006440AE"/>
    <w:p w:rsidR="006440AE" w:rsidRDefault="00F6758F">
      <w:r>
        <w:rPr>
          <w:noProof/>
        </w:rPr>
        <mc:AlternateContent>
          <mc:Choice Requires="wps">
            <w:drawing>
              <wp:anchor distT="0" distB="23495" distL="111125" distR="133985" simplePos="0" relativeHeight="251654656" behindDoc="0" locked="0" layoutInCell="0" allowOverlap="1" wp14:anchorId="2B3C259F" wp14:editId="3D7C0F64">
                <wp:simplePos x="0" y="0"/>
                <wp:positionH relativeFrom="column">
                  <wp:posOffset>0</wp:posOffset>
                </wp:positionH>
                <wp:positionV relativeFrom="paragraph">
                  <wp:posOffset>32385</wp:posOffset>
                </wp:positionV>
                <wp:extent cx="6120130" cy="539750"/>
                <wp:effectExtent l="3175" t="3175" r="3175" b="3175"/>
                <wp:wrapTopAndBottom/>
                <wp:docPr id="12" name="Casella di testo 15"/>
                <wp:cNvGraphicFramePr/>
                <a:graphic xmlns:a="http://schemas.openxmlformats.org/drawingml/2006/main">
                  <a:graphicData uri="http://schemas.microsoft.com/office/word/2010/wordprocessingShape">
                    <wps:wsp>
                      <wps:cNvSpPr/>
                      <wps:spPr>
                        <a:xfrm>
                          <a:off x="0" y="0"/>
                          <a:ext cx="6120000" cy="539640"/>
                        </a:xfrm>
                        <a:prstGeom prst="rect">
                          <a:avLst/>
                        </a:prstGeom>
                        <a:solidFill>
                          <a:schemeClr val="accent5">
                            <a:lumMod val="20000"/>
                            <a:lumOff val="80000"/>
                          </a:schemeClr>
                        </a:solidFill>
                        <a:ln w="6350">
                          <a:solidFill>
                            <a:srgbClr val="000000"/>
                          </a:solidFill>
                          <a:round/>
                        </a:ln>
                      </wps:spPr>
                      <wps:style>
                        <a:lnRef idx="0">
                          <a:scrgbClr r="0" g="0" b="0"/>
                        </a:lnRef>
                        <a:fillRef idx="0">
                          <a:scrgbClr r="0" g="0" b="0"/>
                        </a:fillRef>
                        <a:effectRef idx="0">
                          <a:scrgbClr r="0" g="0" b="0"/>
                        </a:effectRef>
                        <a:fontRef idx="minor"/>
                      </wps:style>
                      <wps:txbx>
                        <w:txbxContent>
                          <w:p w:rsidR="00F6758F" w:rsidRDefault="00F6758F">
                            <w:pPr>
                              <w:pStyle w:val="Contenutocornice"/>
                              <w:rPr>
                                <w:color w:val="000000"/>
                              </w:rPr>
                            </w:pPr>
                            <w:r>
                              <w:rPr>
                                <w:color w:val="000000"/>
                              </w:rPr>
                              <w:t>Note del RPCT:</w:t>
                            </w:r>
                          </w:p>
                          <w:p w:rsidR="00F6758F" w:rsidRDefault="00F6758F">
                            <w:pPr>
                              <w:pStyle w:val="Contenutocornice"/>
                              <w:rPr>
                                <w:color w:val="000000"/>
                              </w:rPr>
                            </w:pPr>
                            <w:r>
                              <w:rPr>
                                <w:color w:val="000000"/>
                              </w:rPr>
                              <w:t>Nessuna</w:t>
                            </w:r>
                          </w:p>
                        </w:txbxContent>
                      </wps:txbx>
                      <wps:bodyPr anchor="t">
                        <a:prstTxWarp prst="textNoShape">
                          <a:avLst/>
                        </a:prstTxWarp>
                        <a:noAutofit/>
                      </wps:bodyPr>
                    </wps:wsp>
                  </a:graphicData>
                </a:graphic>
              </wp:anchor>
            </w:drawing>
          </mc:Choice>
          <mc:Fallback>
            <w:pict>
              <v:rect w14:anchorId="2B3C259F" id="Casella di testo 15" o:spid="_x0000_s1037" style="position:absolute;margin-left:0;margin-top:2.55pt;width:481.9pt;height:42.5pt;z-index:251654656;visibility:visible;mso-wrap-style:square;mso-wrap-distance-left:8.75pt;mso-wrap-distance-top:0;mso-wrap-distance-right:10.55pt;mso-wrap-distance-bottom:1.8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" o:allowincell="f" fillcolor="#deeaf6 [664]" strokeweight=".5pt">
                <v:stroke joinstyle="round"/>
                <v:textbox>
                  <w:txbxContent>
                    <w:p w:rsidR="00F6758F" w:rsidRDefault="00F6758F">
                      <w:pPr>
                        <w:pStyle w:val="Contenutocornice"/>
                        <w:rPr>
                          <w:color w:val="000000"/>
                        </w:rPr>
                      </w:pPr>
                      <w:r>
                        <w:rPr>
                          <w:color w:val="000000"/>
                        </w:rPr>
                        <w:t>Note del RPCT:</w:t>
                      </w:r>
                    </w:p>
                    <w:p w:rsidR="00F6758F" w:rsidRDefault="00F6758F">
                      <w:pPr>
                        <w:pStyle w:val="Contenutocornice"/>
                        <w:rPr>
                          <w:color w:val="000000"/>
                        </w:rPr>
                      </w:pPr>
                      <w:r>
                        <w:rPr>
                          <w:color w:val="000000"/>
                        </w:rPr>
                        <w:t>Nessuna</w:t>
                      </w:r>
                    </w:p>
                  </w:txbxContent>
                </v:textbox>
                <w10:wrap type="topAndBottom"/>
              </v:rect>
            </w:pict>
          </mc:Fallback>
        </mc:AlternateContent>
      </w:r>
    </w:p>
    <w:p w:rsidR="006440AE" w:rsidRDefault="00F6758F">
      <w:pPr>
        <w:pStyle w:val="Titolo1"/>
      </w:pPr>
      <w:bookmarkStart w:id="20" w:name="_Toc189121503"/>
      <w:r>
        <w:t>RENDICONTAZIONE MISURE SPECIFICHE</w:t>
      </w:r>
      <w:bookmarkEnd w:id="20"/>
    </w:p>
    <w:p w:rsidR="006440AE" w:rsidRDefault="006440AE"/>
    <w:p w:rsidR="006440AE" w:rsidRDefault="00F6758F">
      <w:pPr>
        <w:jc w:val="both"/>
      </w:pPr>
      <w:r>
        <w:t>La presente sezione illustra l’andamento relativo all’attuazione delle misure specifiche per l’anno di riferimento del PTPCT.</w:t>
      </w:r>
    </w:p>
    <w:p w:rsidR="006440AE" w:rsidRDefault="006440AE"/>
    <w:p w:rsidR="006440AE" w:rsidRDefault="00F6758F">
      <w:pPr>
        <w:pStyle w:val="Titolo2"/>
      </w:pPr>
      <w:bookmarkStart w:id="21" w:name="_Toc189121504"/>
      <w:r>
        <w:t>Quadro di sintesi dell’attuazione delle misure specifiche</w:t>
      </w:r>
      <w:bookmarkEnd w:id="21"/>
      <w:r>
        <w:t xml:space="preserve"> </w:t>
      </w:r>
    </w:p>
    <w:p w:rsidR="006440AE" w:rsidRDefault="006440AE"/>
    <w:p w:rsidR="006440AE" w:rsidRDefault="00F6758F">
      <w:pPr>
        <w:jc w:val="both"/>
      </w:pPr>
      <w:r>
        <w:t>Nel corso dell’annualità di riferimento, lo stato di programmazione e attuazione delle misure specifiche è sintetizzato nella seguente tabella</w:t>
      </w:r>
    </w:p>
    <w:p w:rsidR="006440AE" w:rsidRDefault="006440AE"/>
    <w:tbl>
      <w:tblPr>
        <w:tblStyle w:val="Grigliatabella"/>
        <w:tblW w:w="9638" w:type="dxa"/>
        <w:tblInd w:w="108" w:type="dxa"/>
        <w:tblLayout w:type="fixed"/>
        <w:tblLook w:val="04A0" w:firstRow="1" w:lastRow="0" w:firstColumn="1" w:lastColumn="0" w:noHBand="0" w:noVBand="1"/>
      </w:tblPr>
      <w:tblGrid>
        <w:gridCol w:w="4255"/>
        <w:gridCol w:w="1243"/>
        <w:gridCol w:w="1309"/>
        <w:gridCol w:w="1352"/>
        <w:gridCol w:w="1479"/>
      </w:tblGrid>
      <w:tr w:rsidR="006440AE">
        <w:tc>
          <w:tcPr>
            <w:tcW w:w="4255" w:type="dxa"/>
          </w:tcPr>
          <w:p w:rsidR="006440AE" w:rsidRDefault="00F6758F">
            <w:pPr>
              <w:jc w:val="center"/>
              <w:rPr>
                <w:b/>
                <w:bCs/>
              </w:rPr>
            </w:pPr>
            <w:r>
              <w:rPr>
                <w:rFonts w:asciiTheme="minorHAnsi" w:hAnsiTheme="minorHAnsi" w:cstheme="minorHAnsi"/>
                <w:b/>
                <w:bCs/>
                <w:sz w:val="22"/>
                <w:szCs w:val="22"/>
              </w:rPr>
              <w:t>Ambito</w:t>
            </w:r>
          </w:p>
        </w:tc>
        <w:tc>
          <w:tcPr>
            <w:tcW w:w="1243" w:type="dxa"/>
          </w:tcPr>
          <w:p w:rsidR="006440AE" w:rsidRDefault="00F6758F">
            <w:pPr>
              <w:jc w:val="center"/>
              <w:rPr>
                <w:b/>
                <w:bCs/>
              </w:rPr>
            </w:pPr>
            <w:r>
              <w:rPr>
                <w:rFonts w:asciiTheme="minorHAnsi" w:hAnsiTheme="minorHAnsi" w:cstheme="minorHAnsi"/>
                <w:b/>
                <w:bCs/>
                <w:sz w:val="22"/>
                <w:szCs w:val="22"/>
              </w:rPr>
              <w:t>Pianificate</w:t>
            </w:r>
          </w:p>
        </w:tc>
        <w:tc>
          <w:tcPr>
            <w:tcW w:w="1309" w:type="dxa"/>
          </w:tcPr>
          <w:p w:rsidR="006440AE" w:rsidRDefault="00F6758F">
            <w:pPr>
              <w:jc w:val="center"/>
              <w:rPr>
                <w:b/>
                <w:bCs/>
              </w:rPr>
            </w:pPr>
            <w:r>
              <w:rPr>
                <w:rFonts w:asciiTheme="minorHAnsi" w:hAnsiTheme="minorHAnsi" w:cstheme="minorHAnsi"/>
                <w:b/>
                <w:bCs/>
                <w:sz w:val="22"/>
                <w:szCs w:val="22"/>
              </w:rPr>
              <w:t>Attuate</w:t>
            </w:r>
          </w:p>
        </w:tc>
        <w:tc>
          <w:tcPr>
            <w:tcW w:w="1352" w:type="dxa"/>
          </w:tcPr>
          <w:p w:rsidR="006440AE" w:rsidRDefault="00F6758F">
            <w:pPr>
              <w:jc w:val="center"/>
              <w:rPr>
                <w:b/>
                <w:bCs/>
              </w:rPr>
            </w:pPr>
            <w:r>
              <w:rPr>
                <w:rFonts w:asciiTheme="minorHAnsi" w:hAnsiTheme="minorHAnsi" w:cstheme="minorHAnsi"/>
                <w:b/>
                <w:bCs/>
                <w:sz w:val="22"/>
                <w:szCs w:val="22"/>
              </w:rPr>
              <w:t>Non attuate</w:t>
            </w:r>
          </w:p>
        </w:tc>
        <w:tc>
          <w:tcPr>
            <w:tcW w:w="1479" w:type="dxa"/>
          </w:tcPr>
          <w:p w:rsidR="006440AE" w:rsidRDefault="00F6758F">
            <w:pPr>
              <w:jc w:val="center"/>
              <w:rPr>
                <w:b/>
                <w:bCs/>
              </w:rPr>
            </w:pPr>
            <w:r>
              <w:rPr>
                <w:rFonts w:asciiTheme="minorHAnsi" w:hAnsiTheme="minorHAnsi" w:cstheme="minorHAnsi"/>
                <w:b/>
                <w:bCs/>
                <w:sz w:val="22"/>
                <w:szCs w:val="22"/>
              </w:rPr>
              <w:t>% attuazione</w:t>
            </w:r>
          </w:p>
        </w:tc>
      </w:tr>
      <w:tr w:rsidR="006440AE">
        <w:tc>
          <w:tcPr>
            <w:tcW w:w="4255" w:type="dxa"/>
          </w:tcPr>
          <w:p w:rsidR="006440AE" w:rsidRDefault="00F6758F">
            <w:r>
              <w:t>Misure di controllo</w:t>
            </w:r>
          </w:p>
        </w:tc>
        <w:tc>
          <w:tcPr>
            <w:tcW w:w="1243" w:type="dxa"/>
          </w:tcPr>
          <w:p w:rsidR="006440AE" w:rsidRDefault="00F6758F">
            <w:pPr>
              <w:jc w:val="center"/>
            </w:pPr>
            <w:r>
              <w:t>31</w:t>
            </w:r>
          </w:p>
        </w:tc>
        <w:tc>
          <w:tcPr>
            <w:tcW w:w="1309" w:type="dxa"/>
          </w:tcPr>
          <w:p w:rsidR="006440AE" w:rsidRDefault="00F6758F">
            <w:pPr>
              <w:jc w:val="center"/>
            </w:pPr>
            <w:r>
              <w:t>20</w:t>
            </w:r>
          </w:p>
        </w:tc>
        <w:tc>
          <w:tcPr>
            <w:tcW w:w="1352" w:type="dxa"/>
          </w:tcPr>
          <w:p w:rsidR="006440AE" w:rsidRDefault="00F6758F">
            <w:pPr>
              <w:jc w:val="center"/>
            </w:pPr>
            <w:r>
              <w:t>11</w:t>
            </w:r>
          </w:p>
        </w:tc>
        <w:tc>
          <w:tcPr>
            <w:tcW w:w="1479" w:type="dxa"/>
          </w:tcPr>
          <w:p w:rsidR="006440AE" w:rsidRDefault="00F6758F">
            <w:pPr>
              <w:jc w:val="center"/>
            </w:pPr>
            <w:r>
              <w:t>64</w:t>
            </w:r>
          </w:p>
        </w:tc>
      </w:tr>
      <w:tr w:rsidR="006440AE">
        <w:tc>
          <w:tcPr>
            <w:tcW w:w="4255" w:type="dxa"/>
          </w:tcPr>
          <w:p w:rsidR="006440AE" w:rsidRDefault="00F6758F">
            <w:r>
              <w:t>Misure di trasparenza</w:t>
            </w:r>
          </w:p>
        </w:tc>
        <w:tc>
          <w:tcPr>
            <w:tcW w:w="1243" w:type="dxa"/>
          </w:tcPr>
          <w:p w:rsidR="006440AE" w:rsidRDefault="00F6758F">
            <w:pPr>
              <w:jc w:val="center"/>
            </w:pPr>
            <w:r>
              <w:t>1</w:t>
            </w:r>
          </w:p>
        </w:tc>
        <w:tc>
          <w:tcPr>
            <w:tcW w:w="1309" w:type="dxa"/>
          </w:tcPr>
          <w:p w:rsidR="006440AE" w:rsidRDefault="00F6758F">
            <w:pPr>
              <w:jc w:val="center"/>
            </w:pPr>
            <w:r>
              <w:t>0</w:t>
            </w:r>
          </w:p>
        </w:tc>
        <w:tc>
          <w:tcPr>
            <w:tcW w:w="1352" w:type="dxa"/>
          </w:tcPr>
          <w:p w:rsidR="006440AE" w:rsidRDefault="00F6758F">
            <w:pPr>
              <w:jc w:val="center"/>
            </w:pPr>
            <w:r>
              <w:t>1</w:t>
            </w:r>
          </w:p>
        </w:tc>
        <w:tc>
          <w:tcPr>
            <w:tcW w:w="1479" w:type="dxa"/>
          </w:tcPr>
          <w:p w:rsidR="006440AE" w:rsidRDefault="00F6758F">
            <w:pPr>
              <w:jc w:val="center"/>
            </w:pPr>
            <w:r>
              <w:t>0</w:t>
            </w:r>
          </w:p>
        </w:tc>
      </w:tr>
      <w:tr w:rsidR="006440AE">
        <w:tc>
          <w:tcPr>
            <w:tcW w:w="4255" w:type="dxa"/>
          </w:tcPr>
          <w:p w:rsidR="006440AE" w:rsidRDefault="00F6758F">
            <w:r>
              <w:t>Misure di regolamentazione</w:t>
            </w:r>
          </w:p>
        </w:tc>
        <w:tc>
          <w:tcPr>
            <w:tcW w:w="1243" w:type="dxa"/>
          </w:tcPr>
          <w:p w:rsidR="006440AE" w:rsidRDefault="00F6758F">
            <w:pPr>
              <w:jc w:val="center"/>
            </w:pPr>
            <w:r>
              <w:t>6</w:t>
            </w:r>
          </w:p>
        </w:tc>
        <w:tc>
          <w:tcPr>
            <w:tcW w:w="1309" w:type="dxa"/>
          </w:tcPr>
          <w:p w:rsidR="006440AE" w:rsidRDefault="00F6758F">
            <w:pPr>
              <w:jc w:val="center"/>
            </w:pPr>
            <w:r>
              <w:t>5</w:t>
            </w:r>
          </w:p>
        </w:tc>
        <w:tc>
          <w:tcPr>
            <w:tcW w:w="1352" w:type="dxa"/>
          </w:tcPr>
          <w:p w:rsidR="006440AE" w:rsidRDefault="00F6758F">
            <w:pPr>
              <w:jc w:val="center"/>
            </w:pPr>
            <w:r>
              <w:t>1</w:t>
            </w:r>
          </w:p>
        </w:tc>
        <w:tc>
          <w:tcPr>
            <w:tcW w:w="1479" w:type="dxa"/>
          </w:tcPr>
          <w:p w:rsidR="006440AE" w:rsidRDefault="00F6758F">
            <w:pPr>
              <w:jc w:val="center"/>
            </w:pPr>
            <w:r>
              <w:t>83</w:t>
            </w:r>
          </w:p>
        </w:tc>
      </w:tr>
      <w:tr w:rsidR="006440AE">
        <w:tc>
          <w:tcPr>
            <w:tcW w:w="4255" w:type="dxa"/>
          </w:tcPr>
          <w:p w:rsidR="006440AE" w:rsidRDefault="00F6758F">
            <w:r>
              <w:t>Misure di rotazione</w:t>
            </w:r>
          </w:p>
        </w:tc>
        <w:tc>
          <w:tcPr>
            <w:tcW w:w="1243" w:type="dxa"/>
          </w:tcPr>
          <w:p w:rsidR="006440AE" w:rsidRDefault="00F6758F">
            <w:pPr>
              <w:jc w:val="center"/>
            </w:pPr>
            <w:r>
              <w:t>8</w:t>
            </w:r>
          </w:p>
        </w:tc>
        <w:tc>
          <w:tcPr>
            <w:tcW w:w="1309" w:type="dxa"/>
          </w:tcPr>
          <w:p w:rsidR="006440AE" w:rsidRDefault="00F6758F">
            <w:pPr>
              <w:jc w:val="center"/>
            </w:pPr>
            <w:r>
              <w:t>0</w:t>
            </w:r>
          </w:p>
        </w:tc>
        <w:tc>
          <w:tcPr>
            <w:tcW w:w="1352" w:type="dxa"/>
          </w:tcPr>
          <w:p w:rsidR="006440AE" w:rsidRDefault="00F6758F">
            <w:pPr>
              <w:jc w:val="center"/>
            </w:pPr>
            <w:r>
              <w:t>8</w:t>
            </w:r>
          </w:p>
        </w:tc>
        <w:tc>
          <w:tcPr>
            <w:tcW w:w="1479" w:type="dxa"/>
          </w:tcPr>
          <w:p w:rsidR="006440AE" w:rsidRDefault="00F6758F">
            <w:pPr>
              <w:jc w:val="center"/>
            </w:pPr>
            <w:r>
              <w:t>0</w:t>
            </w:r>
          </w:p>
        </w:tc>
      </w:tr>
      <w:tr w:rsidR="006440AE">
        <w:tc>
          <w:tcPr>
            <w:tcW w:w="4255" w:type="dxa"/>
          </w:tcPr>
          <w:p w:rsidR="006440AE" w:rsidRDefault="00F6758F">
            <w:r>
              <w:t>Misure di disciplina del conflitto di interessi</w:t>
            </w:r>
          </w:p>
        </w:tc>
        <w:tc>
          <w:tcPr>
            <w:tcW w:w="1243" w:type="dxa"/>
          </w:tcPr>
          <w:p w:rsidR="006440AE" w:rsidRDefault="00F6758F">
            <w:pPr>
              <w:jc w:val="center"/>
            </w:pPr>
            <w:r>
              <w:t>113</w:t>
            </w:r>
          </w:p>
        </w:tc>
        <w:tc>
          <w:tcPr>
            <w:tcW w:w="1309" w:type="dxa"/>
          </w:tcPr>
          <w:p w:rsidR="006440AE" w:rsidRDefault="00F6758F">
            <w:pPr>
              <w:jc w:val="center"/>
            </w:pPr>
            <w:r>
              <w:t>105</w:t>
            </w:r>
          </w:p>
        </w:tc>
        <w:tc>
          <w:tcPr>
            <w:tcW w:w="1352" w:type="dxa"/>
          </w:tcPr>
          <w:p w:rsidR="006440AE" w:rsidRDefault="00F6758F">
            <w:pPr>
              <w:jc w:val="center"/>
            </w:pPr>
            <w:r>
              <w:t>8</w:t>
            </w:r>
          </w:p>
        </w:tc>
        <w:tc>
          <w:tcPr>
            <w:tcW w:w="1479" w:type="dxa"/>
          </w:tcPr>
          <w:p w:rsidR="006440AE" w:rsidRDefault="00F6758F">
            <w:pPr>
              <w:jc w:val="center"/>
            </w:pPr>
            <w:r>
              <w:t>92</w:t>
            </w:r>
          </w:p>
        </w:tc>
      </w:tr>
      <w:tr w:rsidR="006440AE">
        <w:tc>
          <w:tcPr>
            <w:tcW w:w="4255" w:type="dxa"/>
          </w:tcPr>
          <w:p w:rsidR="006440AE" w:rsidRDefault="00F6758F">
            <w:r>
              <w:t>TOTALI</w:t>
            </w:r>
          </w:p>
        </w:tc>
        <w:tc>
          <w:tcPr>
            <w:tcW w:w="1243" w:type="dxa"/>
          </w:tcPr>
          <w:p w:rsidR="006440AE" w:rsidRDefault="00F6758F">
            <w:pPr>
              <w:jc w:val="center"/>
            </w:pPr>
            <w:r>
              <w:t>159</w:t>
            </w:r>
          </w:p>
        </w:tc>
        <w:tc>
          <w:tcPr>
            <w:tcW w:w="1309" w:type="dxa"/>
          </w:tcPr>
          <w:p w:rsidR="006440AE" w:rsidRDefault="00F6758F">
            <w:pPr>
              <w:jc w:val="center"/>
            </w:pPr>
            <w:r>
              <w:t>130</w:t>
            </w:r>
          </w:p>
        </w:tc>
        <w:tc>
          <w:tcPr>
            <w:tcW w:w="1352" w:type="dxa"/>
          </w:tcPr>
          <w:p w:rsidR="006440AE" w:rsidRDefault="00F6758F">
            <w:pPr>
              <w:jc w:val="center"/>
            </w:pPr>
            <w:r>
              <w:t>29</w:t>
            </w:r>
          </w:p>
        </w:tc>
        <w:tc>
          <w:tcPr>
            <w:tcW w:w="1479" w:type="dxa"/>
          </w:tcPr>
          <w:p w:rsidR="006440AE" w:rsidRDefault="00F6758F">
            <w:pPr>
              <w:jc w:val="center"/>
            </w:pPr>
            <w:r>
              <w:t>81</w:t>
            </w:r>
          </w:p>
        </w:tc>
      </w:tr>
    </w:tbl>
    <w:p w:rsidR="006440AE" w:rsidRDefault="006440AE"/>
    <w:p w:rsidR="006440AE" w:rsidRDefault="00F6758F">
      <w:r>
        <w:rPr>
          <w:noProof/>
        </w:rPr>
        <mc:AlternateContent>
          <mc:Choice Requires="wps">
            <w:drawing>
              <wp:anchor distT="0" distB="22860" distL="112395" distR="131445" simplePos="0" relativeHeight="251655680" behindDoc="0" locked="0" layoutInCell="0" allowOverlap="1" wp14:anchorId="5B6745DE" wp14:editId="23F04DFC">
                <wp:simplePos x="0" y="0"/>
                <wp:positionH relativeFrom="column">
                  <wp:posOffset>21590</wp:posOffset>
                </wp:positionH>
                <wp:positionV relativeFrom="paragraph">
                  <wp:posOffset>68580</wp:posOffset>
                </wp:positionV>
                <wp:extent cx="6120130" cy="539750"/>
                <wp:effectExtent l="3810" t="3175" r="2540" b="3175"/>
                <wp:wrapTopAndBottom/>
                <wp:docPr id="13" name="Casella di testo 19"/>
                <wp:cNvGraphicFramePr/>
                <a:graphic xmlns:a="http://schemas.openxmlformats.org/drawingml/2006/main">
                  <a:graphicData uri="http://schemas.microsoft.com/office/word/2010/wordprocessingShape">
                    <wps:wsp>
                      <wps:cNvSpPr/>
                      <wps:spPr>
                        <a:xfrm>
                          <a:off x="0" y="0"/>
                          <a:ext cx="6120000" cy="539640"/>
                        </a:xfrm>
                        <a:prstGeom prst="rect">
                          <a:avLst/>
                        </a:prstGeom>
                        <a:solidFill>
                          <a:schemeClr val="accent5">
                            <a:lumMod val="20000"/>
                            <a:lumOff val="80000"/>
                          </a:schemeClr>
                        </a:solidFill>
                        <a:ln w="6350">
                          <a:solidFill>
                            <a:srgbClr val="000000"/>
                          </a:solidFill>
                          <a:round/>
                        </a:ln>
                      </wps:spPr>
                      <wps:style>
                        <a:lnRef idx="0">
                          <a:scrgbClr r="0" g="0" b="0"/>
                        </a:lnRef>
                        <a:fillRef idx="0">
                          <a:scrgbClr r="0" g="0" b="0"/>
                        </a:fillRef>
                        <a:effectRef idx="0">
                          <a:scrgbClr r="0" g="0" b="0"/>
                        </a:effectRef>
                        <a:fontRef idx="minor"/>
                      </wps:style>
                      <wps:txbx>
                        <w:txbxContent>
                          <w:p w:rsidR="00F6758F" w:rsidRDefault="00F6758F">
                            <w:pPr>
                              <w:pStyle w:val="Contenutocornice"/>
                              <w:rPr>
                                <w:color w:val="000000"/>
                              </w:rPr>
                            </w:pPr>
                            <w:r>
                              <w:rPr>
                                <w:color w:val="000000"/>
                              </w:rPr>
                              <w:t>Note del RPCT:</w:t>
                            </w:r>
                          </w:p>
                          <w:p w:rsidR="00F6758F" w:rsidRDefault="00F6758F">
                            <w:pPr>
                              <w:pStyle w:val="Contenutocornice"/>
                              <w:rPr>
                                <w:color w:val="000000"/>
                              </w:rPr>
                            </w:pPr>
                            <w:r>
                              <w:rPr>
                                <w:color w:val="000000"/>
                              </w:rPr>
                              <w:t>Nessuna</w:t>
                            </w:r>
                          </w:p>
                        </w:txbxContent>
                      </wps:txbx>
                      <wps:bodyPr anchor="t">
                        <a:prstTxWarp prst="textNoShape">
                          <a:avLst/>
                        </a:prstTxWarp>
                        <a:noAutofit/>
                      </wps:bodyPr>
                    </wps:wsp>
                  </a:graphicData>
                </a:graphic>
              </wp:anchor>
            </w:drawing>
          </mc:Choice>
          <mc:Fallback>
            <w:pict>
              <v:rect w14:anchorId="5B6745DE" id="Casella di testo 19" o:spid="_x0000_s1038" style="position:absolute;margin-left:1.7pt;margin-top:5.4pt;width:481.9pt;height:42.5pt;z-index:251655680;visibility:visible;mso-wrap-style:square;mso-wrap-distance-left:8.85pt;mso-wrap-distance-top:0;mso-wrap-distance-right:10.35pt;mso-wrap-distance-bottom:1.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" o:allowincell="f" fillcolor="#deeaf6 [664]" strokeweight=".5pt">
                <v:stroke joinstyle="round"/>
                <v:textbox>
                  <w:txbxContent>
                    <w:p w:rsidR="00F6758F" w:rsidRDefault="00F6758F">
                      <w:pPr>
                        <w:pStyle w:val="Contenutocornice"/>
                        <w:rPr>
                          <w:color w:val="000000"/>
                        </w:rPr>
                      </w:pPr>
                      <w:r>
                        <w:rPr>
                          <w:color w:val="000000"/>
                        </w:rPr>
                        <w:t>Note del RPCT:</w:t>
                      </w:r>
                    </w:p>
                    <w:p w:rsidR="00F6758F" w:rsidRDefault="00F6758F">
                      <w:pPr>
                        <w:pStyle w:val="Contenutocornice"/>
                        <w:rPr>
                          <w:color w:val="000000"/>
                        </w:rPr>
                      </w:pPr>
                      <w:r>
                        <w:rPr>
                          <w:color w:val="000000"/>
                        </w:rPr>
                        <w:t>Nessuna</w:t>
                      </w:r>
                    </w:p>
                  </w:txbxContent>
                </v:textbox>
                <w10:wrap type="topAndBottom"/>
              </v:rect>
            </w:pict>
          </mc:Fallback>
        </mc:AlternateContent>
      </w:r>
    </w:p>
    <w:p w:rsidR="006440AE" w:rsidRDefault="00F6758F">
      <w:pPr>
        <w:pStyle w:val="Titolo1"/>
      </w:pPr>
      <w:bookmarkStart w:id="22" w:name="_Toc189121505"/>
      <w:r>
        <w:t>MONITORAGGIO GESTIONE DEL RISCHIO</w:t>
      </w:r>
      <w:bookmarkEnd w:id="22"/>
      <w:r>
        <w:rPr>
          <w:color w:val="FF0000"/>
        </w:rPr>
        <w:t xml:space="preserve"> </w:t>
      </w:r>
    </w:p>
    <w:p w:rsidR="006440AE" w:rsidRDefault="006440AE"/>
    <w:p w:rsidR="006440AE" w:rsidRDefault="00F6758F">
      <w:pPr>
        <w:jc w:val="both"/>
      </w:pPr>
      <w:r>
        <w:t>Nel corso dell'anno di riferimento del PTPCT o della sezione Anticorruzione e Trasparenza del PIAO, sono pervenute 26 segnalazioni per episodi di “cattiva amministrazione” che hanno riguardato le seguenti aree di rischio:</w:t>
      </w:r>
    </w:p>
    <w:p w:rsidR="006440AE" w:rsidRDefault="00F6758F">
      <w:pPr>
        <w:numPr>
          <w:ilvl w:val="0"/>
          <w:numId w:val="16"/>
        </w:numPr>
        <w:jc w:val="both"/>
      </w:pPr>
      <w:r>
        <w:t>G. Controlli, verifiche, ispezioni e sanzioni;</w:t>
      </w:r>
    </w:p>
    <w:p w:rsidR="006440AE" w:rsidRDefault="00F6758F">
      <w:pPr>
        <w:numPr>
          <w:ilvl w:val="0"/>
          <w:numId w:val="16"/>
        </w:numPr>
        <w:jc w:val="both"/>
      </w:pPr>
      <w:r>
        <w:t>O.1 Attività amministrative non riconducibili ad altre aree di rischio;</w:t>
      </w:r>
    </w:p>
    <w:p w:rsidR="006440AE" w:rsidRDefault="00F6758F">
      <w:pPr>
        <w:numPr>
          <w:ilvl w:val="0"/>
          <w:numId w:val="16"/>
        </w:numPr>
        <w:jc w:val="both"/>
      </w:pPr>
      <w:r>
        <w:t>O.2 Attività sanitarie non riconducibili ad altre aree di rischio;</w:t>
      </w:r>
    </w:p>
    <w:p w:rsidR="006440AE" w:rsidRDefault="00F6758F">
      <w:pPr>
        <w:numPr>
          <w:ilvl w:val="0"/>
          <w:numId w:val="16"/>
        </w:numPr>
        <w:jc w:val="both"/>
      </w:pPr>
      <w:r>
        <w:t>P. Rapporti con soggetti erogatori - Accordi/Contratti di attività.</w:t>
      </w:r>
    </w:p>
    <w:p w:rsidR="006440AE" w:rsidRDefault="006440AE">
      <w:pPr>
        <w:jc w:val="both"/>
      </w:pPr>
    </w:p>
    <w:p w:rsidR="006440AE" w:rsidRDefault="00F6758F">
      <w:pPr>
        <w:jc w:val="both"/>
      </w:pPr>
      <w:r>
        <w:t>Tra tali segnalazioni:</w:t>
      </w:r>
    </w:p>
    <w:p w:rsidR="006440AE" w:rsidRDefault="00F6758F">
      <w:pPr>
        <w:numPr>
          <w:ilvl w:val="0"/>
          <w:numId w:val="17"/>
        </w:numPr>
        <w:jc w:val="both"/>
      </w:pPr>
      <w:r>
        <w:t>alcune sono pervenute per il tramite del canale whistleblowing;</w:t>
      </w:r>
    </w:p>
    <w:p w:rsidR="006440AE" w:rsidRDefault="00F6758F">
      <w:pPr>
        <w:numPr>
          <w:ilvl w:val="0"/>
          <w:numId w:val="17"/>
        </w:numPr>
        <w:jc w:val="both"/>
      </w:pPr>
      <w:r>
        <w:t>alcune sono pervenute tramite altro mezzo (es. segnalazioni anonime anche da soggetti esterni all'amministrazione).</w:t>
      </w:r>
    </w:p>
    <w:p w:rsidR="006440AE" w:rsidRDefault="00F6758F">
      <w:pPr>
        <w:jc w:val="both"/>
      </w:pPr>
      <w:r>
        <w:t xml:space="preserve"> </w:t>
      </w:r>
      <w:r>
        <w:br/>
        <w:t>A seguito delle segnalazioni pervenute, il PTPCT o la sezione Anticorruzione e Trasparenza del PIAO sono stati integrati con misure specifiche di prevenzione della corruzione quali:</w:t>
      </w:r>
    </w:p>
    <w:p w:rsidR="006440AE" w:rsidRDefault="00F6758F">
      <w:pPr>
        <w:numPr>
          <w:ilvl w:val="0"/>
          <w:numId w:val="17"/>
        </w:numPr>
        <w:jc w:val="both"/>
      </w:pPr>
      <w:r>
        <w:t>È stata adottata una procedura per la gestione delle situazioni di incompatibilità e pantouflage nell'ambito dei rapporti con i privati accreditati;</w:t>
      </w:r>
    </w:p>
    <w:p w:rsidR="006440AE" w:rsidRDefault="00F6758F">
      <w:pPr>
        <w:numPr>
          <w:ilvl w:val="0"/>
          <w:numId w:val="17"/>
        </w:numPr>
        <w:jc w:val="both"/>
      </w:pPr>
      <w:r>
        <w:t>Sono stati analizzati i processi che riguardano: la stipula di accordi con strutture sanitarie private accreditate, le selezioni interne tramite job posting, la produzione ambulatoriale Modello Competitivo e l'attivazione del protocollo CUP, prevedendo alcune misure specifiche di prevenzione.</w:t>
      </w:r>
    </w:p>
    <w:p w:rsidR="006440AE" w:rsidRDefault="006440AE">
      <w:pPr>
        <w:jc w:val="both"/>
      </w:pPr>
    </w:p>
    <w:p w:rsidR="006440AE" w:rsidRDefault="00F6758F">
      <w:pPr>
        <w:jc w:val="both"/>
      </w:pPr>
      <w:r>
        <w:t>Si ritiene che la messa in atto del processo di gestione del rischio abbia generato dentro l’organizzazione i seguenti effetti:</w:t>
      </w:r>
    </w:p>
    <w:p w:rsidR="006440AE" w:rsidRDefault="00F6758F">
      <w:pPr>
        <w:numPr>
          <w:ilvl w:val="0"/>
          <w:numId w:val="18"/>
        </w:numPr>
        <w:jc w:val="both"/>
      </w:pPr>
      <w:r>
        <w:t>la consapevolezza del fenomeno corruttivo è aumentata grazie alla formazione e all'analisi dei processi aziendali;</w:t>
      </w:r>
    </w:p>
    <w:p w:rsidR="006440AE" w:rsidRDefault="00F6758F">
      <w:pPr>
        <w:numPr>
          <w:ilvl w:val="0"/>
          <w:numId w:val="18"/>
        </w:numPr>
        <w:jc w:val="both"/>
      </w:pPr>
      <w:r>
        <w:t>la capacità di individuare e far emergere situazioni di rischio corruttivo e di intervenire con adeguati rimedi è aumentata grazie alla formazione, all'analisi dei processi aziendali, all'adozione della procedura per la gestione dei conflitti di interessi, all'aggiornamento del codice di comportamento, all'adozione della procedura per l'individuazione di situazioni di pantouflage e incompatibilità nei rapporti con privati accreditati;</w:t>
      </w:r>
    </w:p>
    <w:p w:rsidR="006440AE" w:rsidRDefault="00F6758F">
      <w:pPr>
        <w:numPr>
          <w:ilvl w:val="0"/>
          <w:numId w:val="18"/>
        </w:numPr>
        <w:jc w:val="both"/>
      </w:pPr>
      <w:r>
        <w:t>la reputazione dell'ente è rimasta invariata. Non ci sono elementi oggettivi di riscontro.</w:t>
      </w:r>
    </w:p>
    <w:p w:rsidR="006440AE" w:rsidRDefault="006440AE">
      <w:pPr>
        <w:jc w:val="both"/>
      </w:pPr>
    </w:p>
    <w:p w:rsidR="006440AE" w:rsidRDefault="00F6758F">
      <w:pPr>
        <w:jc w:val="both"/>
      </w:pPr>
      <w:r>
        <w:t>Nell’anno di riferimento del PTPCT o della sezione Anticorruzione e Trasparenza del PIAO, il RPCT ha effettuato 1 segnalazione all'Organo di Indirizzo Politico nella quale ha evidenziato problematiche esistenti nella gestione del processo di gestione del rischio, alcune carenze nella pubblicazione dei dati su Amministrazione Trasparente, la necessità di implementare controlli sulle situazioni di incompatibilità e pantouflage nella gestione del privato accreditato e la necessità di adottare la piattaforma telematica per la gestione delle segnalazioni whistleblowing.</w:t>
      </w:r>
    </w:p>
    <w:p w:rsidR="006440AE" w:rsidRDefault="006440AE">
      <w:pPr>
        <w:jc w:val="both"/>
      </w:pPr>
    </w:p>
    <w:p w:rsidR="006440AE" w:rsidRDefault="006440AE">
      <w:pPr>
        <w:jc w:val="both"/>
      </w:pPr>
    </w:p>
    <w:p w:rsidR="006440AE" w:rsidRDefault="00F6758F">
      <w:pPr>
        <w:pStyle w:val="Titolo1"/>
      </w:pPr>
      <w:bookmarkStart w:id="23" w:name="_Toc189121506"/>
      <w:r>
        <w:rPr>
          <w:noProof/>
        </w:rPr>
        <mc:AlternateContent>
          <mc:Choice Requires="wps">
            <w:drawing>
              <wp:anchor distT="0" distB="23495" distL="112395" distR="131445" simplePos="0" relativeHeight="251656704" behindDoc="0" locked="0" layoutInCell="0" allowOverlap="1" wp14:anchorId="54EC8B72" wp14:editId="11AE7885">
                <wp:simplePos x="0" y="0"/>
                <wp:positionH relativeFrom="column">
                  <wp:posOffset>0</wp:posOffset>
                </wp:positionH>
                <wp:positionV relativeFrom="paragraph">
                  <wp:posOffset>-71755</wp:posOffset>
                </wp:positionV>
                <wp:extent cx="6120130" cy="539750"/>
                <wp:effectExtent l="3810" t="3175" r="2540" b="3175"/>
                <wp:wrapTopAndBottom/>
                <wp:docPr id="14" name="Casella di testo 23"/>
                <wp:cNvGraphicFramePr/>
                <a:graphic xmlns:a="http://schemas.openxmlformats.org/drawingml/2006/main">
                  <a:graphicData uri="http://schemas.microsoft.com/office/word/2010/wordprocessingShape">
                    <wps:wsp>
                      <wps:cNvSpPr/>
                      <wps:spPr>
                        <a:xfrm>
                          <a:off x="0" y="0"/>
                          <a:ext cx="6120000" cy="539640"/>
                        </a:xfrm>
                        <a:prstGeom prst="rect">
                          <a:avLst/>
                        </a:prstGeom>
                        <a:solidFill>
                          <a:schemeClr val="accent5">
                            <a:lumMod val="20000"/>
                            <a:lumOff val="80000"/>
                          </a:schemeClr>
                        </a:solidFill>
                        <a:ln w="6350">
                          <a:solidFill>
                            <a:srgbClr val="000000"/>
                          </a:solidFill>
                          <a:round/>
                        </a:ln>
                      </wps:spPr>
                      <wps:style>
                        <a:lnRef idx="0">
                          <a:scrgbClr r="0" g="0" b="0"/>
                        </a:lnRef>
                        <a:fillRef idx="0">
                          <a:scrgbClr r="0" g="0" b="0"/>
                        </a:fillRef>
                        <a:effectRef idx="0">
                          <a:scrgbClr r="0" g="0" b="0"/>
                        </a:effectRef>
                        <a:fontRef idx="minor"/>
                      </wps:style>
                      <wps:txbx>
                        <w:txbxContent>
                          <w:p w:rsidR="00F6758F" w:rsidRDefault="00F6758F">
                            <w:pPr>
                              <w:pStyle w:val="Contenutocornice"/>
                              <w:rPr>
                                <w:color w:val="000000"/>
                              </w:rPr>
                            </w:pPr>
                            <w:r>
                              <w:rPr>
                                <w:color w:val="000000"/>
                              </w:rPr>
                              <w:t>Note del RPCT:</w:t>
                            </w:r>
                          </w:p>
                          <w:p w:rsidR="00F6758F" w:rsidRDefault="00F6758F">
                            <w:pPr>
                              <w:pStyle w:val="Contenutocornice"/>
                              <w:rPr>
                                <w:color w:val="000000"/>
                              </w:rPr>
                            </w:pPr>
                            <w:r>
                              <w:rPr>
                                <w:color w:val="000000"/>
                              </w:rPr>
                              <w:t>Nessuna</w:t>
                            </w:r>
                          </w:p>
                        </w:txbxContent>
                      </wps:txbx>
                      <wps:bodyPr anchor="t">
                        <a:prstTxWarp prst="textNoShape">
                          <a:avLst/>
                        </a:prstTxWarp>
                        <a:noAutofit/>
                      </wps:bodyPr>
                    </wps:wsp>
                  </a:graphicData>
                </a:graphic>
              </wp:anchor>
            </w:drawing>
          </mc:Choice>
          <mc:Fallback>
            <w:pict>
              <v:rect w14:anchorId="54EC8B72" id="Casella di testo 23" o:spid="_x0000_s1039" style="position:absolute;left:0;text-align:left;margin-left:0;margin-top:-5.65pt;width:481.9pt;height:42.5pt;z-index:251656704;visibility:visible;mso-wrap-style:square;mso-wrap-distance-left:8.85pt;mso-wrap-distance-top:0;mso-wrap-distance-right:10.35pt;mso-wrap-distance-bottom:1.8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" o:allowincell="f" fillcolor="#deeaf6 [664]" strokeweight=".5pt">
                <v:stroke joinstyle="round"/>
                <v:textbox>
                  <w:txbxContent>
                    <w:p w:rsidR="00F6758F" w:rsidRDefault="00F6758F">
                      <w:pPr>
                        <w:pStyle w:val="Contenutocornice"/>
                        <w:rPr>
                          <w:color w:val="000000"/>
                        </w:rPr>
                      </w:pPr>
                      <w:r>
                        <w:rPr>
                          <w:color w:val="000000"/>
                        </w:rPr>
                        <w:t>Note del RPCT:</w:t>
                      </w:r>
                    </w:p>
                    <w:p w:rsidR="00F6758F" w:rsidRDefault="00F6758F">
                      <w:pPr>
                        <w:pStyle w:val="Contenutocornice"/>
                        <w:rPr>
                          <w:color w:val="000000"/>
                        </w:rPr>
                      </w:pPr>
                      <w:r>
                        <w:rPr>
                          <w:color w:val="000000"/>
                        </w:rPr>
                        <w:t>Nessuna</w:t>
                      </w:r>
                    </w:p>
                  </w:txbxContent>
                </v:textbox>
                <w10:wrap type="topAndBottom"/>
              </v:rect>
            </w:pict>
          </mc:Fallback>
        </mc:AlternateContent>
      </w:r>
      <w:r>
        <w:t>MONITORAGGIO PROCEDIMENTI PENALI</w:t>
      </w:r>
      <w:bookmarkEnd w:id="23"/>
      <w:r>
        <w:t xml:space="preserve"> </w:t>
      </w:r>
    </w:p>
    <w:p w:rsidR="006440AE" w:rsidRDefault="006440AE">
      <w:pPr>
        <w:rPr>
          <w:color w:val="000000" w:themeColor="text1"/>
        </w:rPr>
      </w:pPr>
    </w:p>
    <w:p w:rsidR="006440AE" w:rsidRDefault="00F6758F">
      <w:pPr>
        <w:jc w:val="both"/>
      </w:pPr>
      <w:r>
        <w:rPr>
          <w:color w:val="000000" w:themeColor="text1"/>
        </w:rPr>
        <w:t>Nell'anno di riferimento del PTPCT o della sezione Anticorruzione e Trasparenza del PIAO in esame ci sono state 8 denunce, riguardanti eventi corruttivi, a carico di dipendenti dell'amministrazione che hanno riguardato le seguenti aree di rischio:</w:t>
      </w:r>
    </w:p>
    <w:p w:rsidR="006440AE" w:rsidRDefault="00F6758F">
      <w:pPr>
        <w:numPr>
          <w:ilvl w:val="0"/>
          <w:numId w:val="19"/>
        </w:numPr>
        <w:jc w:val="both"/>
      </w:pPr>
      <w:r>
        <w:rPr>
          <w:color w:val="000000" w:themeColor="text1"/>
        </w:rPr>
        <w:t>F. Gestione delle entrate, delle spese e del patrimonio;</w:t>
      </w:r>
    </w:p>
    <w:p w:rsidR="006440AE" w:rsidRDefault="00F6758F">
      <w:pPr>
        <w:numPr>
          <w:ilvl w:val="0"/>
          <w:numId w:val="19"/>
        </w:numPr>
        <w:jc w:val="both"/>
      </w:pPr>
      <w:r>
        <w:rPr>
          <w:color w:val="000000" w:themeColor="text1"/>
        </w:rPr>
        <w:t>G. Controlli, verifiche, ispezioni e sanzioni;</w:t>
      </w:r>
    </w:p>
    <w:p w:rsidR="006440AE" w:rsidRDefault="00F6758F">
      <w:pPr>
        <w:numPr>
          <w:ilvl w:val="0"/>
          <w:numId w:val="19"/>
        </w:numPr>
        <w:jc w:val="both"/>
      </w:pPr>
      <w:r>
        <w:rPr>
          <w:color w:val="000000" w:themeColor="text1"/>
        </w:rPr>
        <w:t>O.2 Attività sanitarie non riconducibili ad altre aree di rischio;</w:t>
      </w:r>
    </w:p>
    <w:p w:rsidR="006440AE" w:rsidRDefault="00F6758F">
      <w:pPr>
        <w:numPr>
          <w:ilvl w:val="0"/>
          <w:numId w:val="19"/>
        </w:numPr>
        <w:jc w:val="both"/>
      </w:pPr>
      <w:r>
        <w:rPr>
          <w:color w:val="000000" w:themeColor="text1"/>
        </w:rPr>
        <w:t>L. Attività libero professionale.</w:t>
      </w:r>
    </w:p>
    <w:p w:rsidR="006440AE" w:rsidRDefault="00F6758F">
      <w:pPr>
        <w:jc w:val="both"/>
        <w:rPr>
          <w:color w:val="000000" w:themeColor="text1"/>
        </w:rPr>
      </w:pPr>
      <w:r>
        <w:rPr>
          <w:color w:val="000000" w:themeColor="text1"/>
        </w:rPr>
        <w:t>Nell'anno di riferimento del PTPCT o della sezione Anticorruzione e Trasparenza del PIAO l’amministrazione non ha avuto notizia da parte di propri dipendenti di essere stati destinatari di un procedimento penale.</w:t>
      </w:r>
    </w:p>
    <w:p w:rsidR="006440AE" w:rsidRDefault="006440AE">
      <w:pPr>
        <w:rPr>
          <w:color w:val="000000" w:themeColor="text1"/>
        </w:rPr>
      </w:pPr>
    </w:p>
    <w:p w:rsidR="006440AE" w:rsidRDefault="00F6758F">
      <w:pPr>
        <w:jc w:val="both"/>
        <w:rPr>
          <w:color w:val="000000" w:themeColor="text1"/>
        </w:rPr>
      </w:pPr>
      <w:r>
        <w:rPr>
          <w:color w:val="000000" w:themeColor="text1"/>
        </w:rPr>
        <w:t>Nell'anno di riferimento del PTPCT o della sezione Anticorruzione e Trasparenza del PIAO non sono stati conclusi con provvedimento non definitivo, procedimenti penali a carico di dipendenti dell'amministrazione.</w:t>
      </w:r>
    </w:p>
    <w:p w:rsidR="006440AE" w:rsidRDefault="006440AE">
      <w:pPr>
        <w:rPr>
          <w:color w:val="000000" w:themeColor="text1"/>
        </w:rPr>
      </w:pPr>
    </w:p>
    <w:p w:rsidR="006440AE" w:rsidRDefault="00F6758F">
      <w:pPr>
        <w:jc w:val="both"/>
        <w:rPr>
          <w:color w:val="000000" w:themeColor="text1"/>
        </w:rPr>
      </w:pPr>
      <w:r>
        <w:rPr>
          <w:color w:val="000000" w:themeColor="text1"/>
        </w:rPr>
        <w:t>Nell'anno di riferimento del PTPCT o della sezione Anticorruzione e Trasparenza del PIAO non sono stati conclusi con sentenza o altro provvedimento definitivo, procedimenti penali a carico di dipendenti dell'amministrazione.</w:t>
      </w:r>
    </w:p>
    <w:p w:rsidR="006440AE" w:rsidRDefault="006440AE"/>
    <w:p w:rsidR="006440AE" w:rsidRDefault="00F6758F">
      <w:r>
        <w:rPr>
          <w:noProof/>
        </w:rPr>
        <mc:AlternateContent>
          <mc:Choice Requires="wps">
            <w:drawing>
              <wp:anchor distT="635" distB="22225" distL="111125" distR="133985" simplePos="0" relativeHeight="251657728" behindDoc="0" locked="0" layoutInCell="0" allowOverlap="1" wp14:anchorId="6D525391" wp14:editId="0A5CC5EF">
                <wp:simplePos x="0" y="0"/>
                <wp:positionH relativeFrom="column">
                  <wp:posOffset>0</wp:posOffset>
                </wp:positionH>
                <wp:positionV relativeFrom="paragraph">
                  <wp:posOffset>31750</wp:posOffset>
                </wp:positionV>
                <wp:extent cx="6120130" cy="840740"/>
                <wp:effectExtent l="3175" t="3175" r="3175" b="3175"/>
                <wp:wrapTopAndBottom/>
                <wp:docPr id="15" name="Casella di testo 25"/>
                <wp:cNvGraphicFramePr/>
                <a:graphic xmlns:a="http://schemas.openxmlformats.org/drawingml/2006/main">
                  <a:graphicData uri="http://schemas.microsoft.com/office/word/2010/wordprocessingShape">
                    <wps:wsp>
                      <wps:cNvSpPr/>
                      <wps:spPr>
                        <a:xfrm>
                          <a:off x="0" y="0"/>
                          <a:ext cx="6120000" cy="840600"/>
                        </a:xfrm>
                        <a:prstGeom prst="rect">
                          <a:avLst/>
                        </a:prstGeom>
                        <a:solidFill>
                          <a:schemeClr val="accent5">
                            <a:lumMod val="20000"/>
                            <a:lumOff val="80000"/>
                          </a:schemeClr>
                        </a:solidFill>
                        <a:ln w="6350">
                          <a:solidFill>
                            <a:srgbClr val="000000"/>
                          </a:solidFill>
                          <a:round/>
                        </a:ln>
                      </wps:spPr>
                      <wps:style>
                        <a:lnRef idx="0">
                          <a:scrgbClr r="0" g="0" b="0"/>
                        </a:lnRef>
                        <a:fillRef idx="0">
                          <a:scrgbClr r="0" g="0" b="0"/>
                        </a:fillRef>
                        <a:effectRef idx="0">
                          <a:scrgbClr r="0" g="0" b="0"/>
                        </a:effectRef>
                        <a:fontRef idx="minor"/>
                      </wps:style>
                      <wps:txbx>
                        <w:txbxContent>
                          <w:p w:rsidR="00F6758F" w:rsidRDefault="00F6758F">
                            <w:pPr>
                              <w:pStyle w:val="Contenutocornice"/>
                              <w:rPr>
                                <w:color w:val="000000"/>
                              </w:rPr>
                            </w:pPr>
                            <w:r>
                              <w:rPr>
                                <w:color w:val="000000"/>
                              </w:rPr>
                              <w:t>Note del RPCT:</w:t>
                            </w:r>
                          </w:p>
                          <w:p w:rsidR="00F6758F" w:rsidRDefault="00F6758F">
                            <w:pPr>
                              <w:pStyle w:val="Contenutocornice"/>
                              <w:jc w:val="both"/>
                              <w:rPr>
                                <w:color w:val="000000"/>
                              </w:rPr>
                            </w:pPr>
                            <w:r>
                              <w:rPr>
                                <w:color w:val="000000"/>
                              </w:rPr>
                              <w:t>Si precisa che all’Azienda non sono pervenute notizie in merito procedimenti penali a carico di dipendenti dell'amministrazione conclusi con provvedimento non definitivo o conclusi con sentenza o altro provvedimento definitivo.</w:t>
                            </w:r>
                          </w:p>
                        </w:txbxContent>
                      </wps:txbx>
                      <wps:bodyPr anchor="t">
                        <a:prstTxWarp prst="textNoShape">
                          <a:avLst/>
                        </a:prstTxWarp>
                        <a:noAutofit/>
                      </wps:bodyPr>
                    </wps:wsp>
                  </a:graphicData>
                </a:graphic>
              </wp:anchor>
            </w:drawing>
          </mc:Choice>
          <mc:Fallback>
            <w:pict>
              <v:rect w14:anchorId="6D525391" id="Casella di testo 25" o:spid="_x0000_s1040" style="position:absolute;margin-left:0;margin-top:2.5pt;width:481.9pt;height:66.2pt;z-index:251657728;visibility:visible;mso-wrap-style:square;mso-wrap-distance-left:8.75pt;mso-wrap-distance-top:.05pt;mso-wrap-distance-right:10.55pt;mso-wrap-distance-bottom:1.7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" o:allowincell="f" fillcolor="#deeaf6 [664]" strokeweight=".5pt">
                <v:stroke joinstyle="round"/>
                <v:textbox>
                  <w:txbxContent>
                    <w:p w:rsidR="00F6758F" w:rsidRDefault="00F6758F">
                      <w:pPr>
                        <w:pStyle w:val="Contenutocornice"/>
                        <w:rPr>
                          <w:color w:val="000000"/>
                        </w:rPr>
                      </w:pPr>
                      <w:r>
                        <w:rPr>
                          <w:color w:val="000000"/>
                        </w:rPr>
                        <w:t>Note del RPCT:</w:t>
                      </w:r>
                    </w:p>
                    <w:p w:rsidR="00F6758F" w:rsidRDefault="00F6758F">
                      <w:pPr>
                        <w:pStyle w:val="Contenutocornice"/>
                        <w:jc w:val="both"/>
                        <w:rPr>
                          <w:color w:val="000000"/>
                        </w:rPr>
                      </w:pPr>
                      <w:r>
                        <w:rPr>
                          <w:color w:val="000000"/>
                        </w:rPr>
                        <w:t>Si precisa che all’Azienda non sono pervenute notizie in merito procedimenti penali a carico di dipendenti dell'amministrazione conclusi con provvedimento non definitivo o conclusi con sentenza o altro provvedimento definitivo.</w:t>
                      </w:r>
                    </w:p>
                  </w:txbxContent>
                </v:textbox>
                <w10:wrap type="topAndBottom"/>
              </v:rect>
            </w:pict>
          </mc:Fallback>
        </mc:AlternateContent>
      </w:r>
    </w:p>
    <w:p w:rsidR="006440AE" w:rsidRDefault="00F6758F">
      <w:pPr>
        <w:pStyle w:val="Titolo1"/>
      </w:pPr>
      <w:bookmarkStart w:id="24" w:name="_Toc189121507"/>
      <w:r>
        <w:t>MONITORAGGIO PROCEDIMENTI DISCIPLINARI</w:t>
      </w:r>
      <w:bookmarkEnd w:id="24"/>
      <w:r>
        <w:t xml:space="preserve"> </w:t>
      </w:r>
    </w:p>
    <w:p w:rsidR="006440AE" w:rsidRDefault="006440AE">
      <w:pPr>
        <w:rPr>
          <w:color w:val="000000" w:themeColor="text1"/>
        </w:rPr>
      </w:pPr>
    </w:p>
    <w:p w:rsidR="006440AE" w:rsidRDefault="00F6758F">
      <w:pPr>
        <w:jc w:val="both"/>
        <w:rPr>
          <w:color w:val="000000" w:themeColor="text1"/>
        </w:rPr>
      </w:pPr>
      <w:r>
        <w:rPr>
          <w:color w:val="000000" w:themeColor="text1"/>
        </w:rPr>
        <w:t>Nel corso dell’anno di riferimento del PTPCT o della sezione Anticorruzione e Trasparenza del PIAO sono stati avviati 5 procedimenti disciplinari riconducibili ad eventi corruttivi a carico di dipendenti. Tali fenomeni hanno interessato le seguenti aree di rischio:</w:t>
      </w:r>
    </w:p>
    <w:p w:rsidR="006440AE" w:rsidRDefault="00F6758F">
      <w:pPr>
        <w:numPr>
          <w:ilvl w:val="0"/>
          <w:numId w:val="20"/>
        </w:numPr>
        <w:rPr>
          <w:color w:val="000000" w:themeColor="text1"/>
        </w:rPr>
      </w:pPr>
      <w:r>
        <w:rPr>
          <w:color w:val="000000" w:themeColor="text1"/>
        </w:rPr>
        <w:t>O.2 Attività sanitarie non riconducibili ad altre aree di rischio.</w:t>
      </w:r>
    </w:p>
    <w:p w:rsidR="006440AE" w:rsidRDefault="006440AE">
      <w:pPr>
        <w:rPr>
          <w:color w:val="000000" w:themeColor="text1"/>
        </w:rPr>
      </w:pPr>
    </w:p>
    <w:p w:rsidR="006440AE" w:rsidRDefault="00F6758F">
      <w:pPr>
        <w:rPr>
          <w:color w:val="000000" w:themeColor="text1"/>
        </w:rPr>
      </w:pPr>
      <w:r>
        <w:rPr>
          <w:color w:val="000000" w:themeColor="text1"/>
        </w:rPr>
        <w:t>Tra i procedimenti disciplinari alcuni sono stati avviati a seguito di:</w:t>
      </w:r>
    </w:p>
    <w:p w:rsidR="006440AE" w:rsidRDefault="00F6758F">
      <w:pPr>
        <w:numPr>
          <w:ilvl w:val="0"/>
          <w:numId w:val="21"/>
        </w:numPr>
        <w:rPr>
          <w:color w:val="000000" w:themeColor="text1"/>
        </w:rPr>
      </w:pPr>
      <w:r>
        <w:rPr>
          <w:color w:val="000000" w:themeColor="text1"/>
        </w:rPr>
        <w:t>Segnalazioni pervenute per il tramite del canale whistleblowing;</w:t>
      </w:r>
    </w:p>
    <w:p w:rsidR="006440AE" w:rsidRDefault="00F6758F">
      <w:pPr>
        <w:numPr>
          <w:ilvl w:val="0"/>
          <w:numId w:val="21"/>
        </w:numPr>
        <w:rPr>
          <w:color w:val="000000" w:themeColor="text1"/>
        </w:rPr>
      </w:pPr>
      <w:r>
        <w:rPr>
          <w:color w:val="000000" w:themeColor="text1"/>
        </w:rPr>
        <w:t>Violazioni del Codice di Comportamento.</w:t>
      </w:r>
    </w:p>
    <w:p w:rsidR="006440AE" w:rsidRDefault="006440AE"/>
    <w:p w:rsidR="006440AE" w:rsidRDefault="00F6758F">
      <w:r>
        <w:rPr>
          <w:noProof/>
        </w:rPr>
        <mc:AlternateContent>
          <mc:Choice Requires="wps">
            <w:drawing>
              <wp:anchor distT="635" distB="22225" distL="111125" distR="133985" simplePos="0" relativeHeight="251658752" behindDoc="0" locked="0" layoutInCell="0" allowOverlap="1" wp14:anchorId="242216CD" wp14:editId="4AD17A0F">
                <wp:simplePos x="0" y="0"/>
                <wp:positionH relativeFrom="column">
                  <wp:posOffset>0</wp:posOffset>
                </wp:positionH>
                <wp:positionV relativeFrom="paragraph">
                  <wp:posOffset>71755</wp:posOffset>
                </wp:positionV>
                <wp:extent cx="6120130" cy="539750"/>
                <wp:effectExtent l="3175" t="3175" r="3175" b="3175"/>
                <wp:wrapTopAndBottom/>
                <wp:docPr id="16" name="Casella di testo 26"/>
                <wp:cNvGraphicFramePr/>
                <a:graphic xmlns:a="http://schemas.openxmlformats.org/drawingml/2006/main">
                  <a:graphicData uri="http://schemas.microsoft.com/office/word/2010/wordprocessingShape">
                    <wps:wsp>
                      <wps:cNvSpPr/>
                      <wps:spPr>
                        <a:xfrm>
                          <a:off x="0" y="0"/>
                          <a:ext cx="6120000" cy="539640"/>
                        </a:xfrm>
                        <a:prstGeom prst="rect">
                          <a:avLst/>
                        </a:prstGeom>
                        <a:solidFill>
                          <a:schemeClr val="accent5">
                            <a:lumMod val="20000"/>
                            <a:lumOff val="80000"/>
                          </a:schemeClr>
                        </a:solidFill>
                        <a:ln w="6350">
                          <a:solidFill>
                            <a:srgbClr val="000000"/>
                          </a:solidFill>
                          <a:round/>
                        </a:ln>
                      </wps:spPr>
                      <wps:style>
                        <a:lnRef idx="0">
                          <a:scrgbClr r="0" g="0" b="0"/>
                        </a:lnRef>
                        <a:fillRef idx="0">
                          <a:scrgbClr r="0" g="0" b="0"/>
                        </a:fillRef>
                        <a:effectRef idx="0">
                          <a:scrgbClr r="0" g="0" b="0"/>
                        </a:effectRef>
                        <a:fontRef idx="minor"/>
                      </wps:style>
                      <wps:txbx>
                        <w:txbxContent>
                          <w:p w:rsidR="00F6758F" w:rsidRDefault="00F6758F">
                            <w:pPr>
                              <w:pStyle w:val="Contenutocornice"/>
                              <w:rPr>
                                <w:color w:val="000000"/>
                              </w:rPr>
                            </w:pPr>
                            <w:r>
                              <w:rPr>
                                <w:color w:val="000000"/>
                              </w:rPr>
                              <w:t>Note del RPCT:</w:t>
                            </w:r>
                          </w:p>
                          <w:p w:rsidR="00F6758F" w:rsidRDefault="00F6758F">
                            <w:pPr>
                              <w:pStyle w:val="Contenutocornice"/>
                              <w:rPr>
                                <w:color w:val="000000"/>
                              </w:rPr>
                            </w:pPr>
                            <w:r>
                              <w:rPr>
                                <w:color w:val="000000"/>
                              </w:rPr>
                              <w:t>Nessuna</w:t>
                            </w:r>
                          </w:p>
                        </w:txbxContent>
                      </wps:txbx>
                      <wps:bodyPr anchor="t">
                        <a:prstTxWarp prst="textNoShape">
                          <a:avLst/>
                        </a:prstTxWarp>
                        <a:noAutofit/>
                      </wps:bodyPr>
                    </wps:wsp>
                  </a:graphicData>
                </a:graphic>
              </wp:anchor>
            </w:drawing>
          </mc:Choice>
          <mc:Fallback>
            <w:pict>
              <v:rect w14:anchorId="242216CD" id="Casella di testo 26" o:spid="_x0000_s1041" style="position:absolute;margin-left:0;margin-top:5.65pt;width:481.9pt;height:42.5pt;z-index:251658752;visibility:visible;mso-wrap-style:square;mso-wrap-distance-left:8.75pt;mso-wrap-distance-top:.05pt;mso-wrap-distance-right:10.55pt;mso-wrap-distance-bottom:1.7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" o:allowincell="f" fillcolor="#deeaf6 [664]" strokeweight=".5pt">
                <v:stroke joinstyle="round"/>
                <v:textbox>
                  <w:txbxContent>
                    <w:p w:rsidR="00F6758F" w:rsidRDefault="00F6758F">
                      <w:pPr>
                        <w:pStyle w:val="Contenutocornice"/>
                        <w:rPr>
                          <w:color w:val="000000"/>
                        </w:rPr>
                      </w:pPr>
                      <w:r>
                        <w:rPr>
                          <w:color w:val="000000"/>
                        </w:rPr>
                        <w:t>Note del RPCT:</w:t>
                      </w:r>
                    </w:p>
                    <w:p w:rsidR="00F6758F" w:rsidRDefault="00F6758F">
                      <w:pPr>
                        <w:pStyle w:val="Contenutocornice"/>
                        <w:rPr>
                          <w:color w:val="000000"/>
                        </w:rPr>
                      </w:pPr>
                      <w:r>
                        <w:rPr>
                          <w:color w:val="000000"/>
                        </w:rPr>
                        <w:t>Nessuna</w:t>
                      </w:r>
                    </w:p>
                  </w:txbxContent>
                </v:textbox>
                <w10:wrap type="topAndBottom"/>
              </v:rect>
            </w:pict>
          </mc:Fallback>
        </mc:AlternateContent>
      </w:r>
    </w:p>
    <w:p w:rsidR="006440AE" w:rsidRDefault="00F6758F">
      <w:pPr>
        <w:pStyle w:val="Titolo1"/>
      </w:pPr>
      <w:bookmarkStart w:id="25" w:name="_Toc189121508"/>
      <w:r>
        <w:t>CONSIDERAZIONI GENERALI</w:t>
      </w:r>
      <w:bookmarkEnd w:id="25"/>
      <w:r>
        <w:t xml:space="preserve"> </w:t>
      </w:r>
    </w:p>
    <w:p w:rsidR="006440AE" w:rsidRDefault="006440AE"/>
    <w:p w:rsidR="006440AE" w:rsidRDefault="00F6758F">
      <w:pPr>
        <w:jc w:val="both"/>
      </w:pPr>
      <w:r>
        <w:t>Si ritiene che lo stato di attuazione del PTPCT o della sezione Anticorruzione e Trasparenza del PIAO (definito attraverso una valutazione sintetica del livello effettivo di attuazione del Piano e delle misure in esso contenute) sia sufficiente per le seguenti ragioni: i dati del monitoraggio evidenziano un sufficiente livello di applicazione delle misure previste dal PIAO. Sono comunque presenti margini di miglioramento dovuti alla complessità dell'organizzazione, al numero elevato di processi gestiti e alla necessità di adeguamento alle modifiche normative e organizzative intervenute.</w:t>
      </w:r>
    </w:p>
    <w:p w:rsidR="006440AE" w:rsidRDefault="006440AE">
      <w:pPr>
        <w:jc w:val="both"/>
      </w:pPr>
    </w:p>
    <w:p w:rsidR="006440AE" w:rsidRDefault="00F6758F">
      <w:pPr>
        <w:jc w:val="both"/>
      </w:pPr>
      <w:r>
        <w:t>Si ritiene che l’idoneità complessiva della strategia di prevenzione della corruzione (definita attraverso una valutazione sintetica) con particolare riferimento alle misure previste nel Piano e attuate sia parzialmente idoneo, per le seguenti ragioni: sebbene la strategia di prevenzione sia correttamente strutturata in conformità alle previsioni del PNA, presenta qualche criticità nella sua attuazione a causa delle limitate risorse disponibili, della complessità dell'organizzazione e dell'elevato numero di processi gestiti.</w:t>
      </w:r>
    </w:p>
    <w:p w:rsidR="006440AE" w:rsidRDefault="006440AE"/>
    <w:p w:rsidR="006440AE" w:rsidRDefault="00F6758F">
      <w:r>
        <w:rPr>
          <w:noProof/>
        </w:rPr>
        <mc:AlternateContent>
          <mc:Choice Requires="wps">
            <w:drawing>
              <wp:anchor distT="635" distB="22225" distL="111125" distR="133985" simplePos="0" relativeHeight="251671040" behindDoc="0" locked="0" layoutInCell="0" allowOverlap="1" wp14:anchorId="61446524" wp14:editId="17E9122A">
                <wp:simplePos x="0" y="0"/>
                <wp:positionH relativeFrom="column">
                  <wp:posOffset>0</wp:posOffset>
                </wp:positionH>
                <wp:positionV relativeFrom="paragraph">
                  <wp:posOffset>71755</wp:posOffset>
                </wp:positionV>
                <wp:extent cx="6120130" cy="539750"/>
                <wp:effectExtent l="3175" t="3175" r="3175" b="3175"/>
                <wp:wrapTopAndBottom/>
                <wp:docPr id="17" name="Casella di testo 27"/>
                <wp:cNvGraphicFramePr/>
                <a:graphic xmlns:a="http://schemas.openxmlformats.org/drawingml/2006/main">
                  <a:graphicData uri="http://schemas.microsoft.com/office/word/2010/wordprocessingShape">
                    <wps:wsp>
                      <wps:cNvSpPr/>
                      <wps:spPr>
                        <a:xfrm>
                          <a:off x="0" y="0"/>
                          <a:ext cx="6120000" cy="539640"/>
                        </a:xfrm>
                        <a:prstGeom prst="rect">
                          <a:avLst/>
                        </a:prstGeom>
                        <a:solidFill>
                          <a:schemeClr val="accent5">
                            <a:lumMod val="20000"/>
                            <a:lumOff val="80000"/>
                          </a:schemeClr>
                        </a:solidFill>
                        <a:ln w="6350">
                          <a:solidFill>
                            <a:srgbClr val="000000"/>
                          </a:solidFill>
                          <a:round/>
                        </a:ln>
                      </wps:spPr>
                      <wps:style>
                        <a:lnRef idx="0">
                          <a:scrgbClr r="0" g="0" b="0"/>
                        </a:lnRef>
                        <a:fillRef idx="0">
                          <a:scrgbClr r="0" g="0" b="0"/>
                        </a:fillRef>
                        <a:effectRef idx="0">
                          <a:scrgbClr r="0" g="0" b="0"/>
                        </a:effectRef>
                        <a:fontRef idx="minor"/>
                      </wps:style>
                      <wps:txbx>
                        <w:txbxContent>
                          <w:p w:rsidR="00F6758F" w:rsidRDefault="00F6758F">
                            <w:pPr>
                              <w:pStyle w:val="Contenutocornice"/>
                              <w:rPr>
                                <w:color w:val="000000"/>
                              </w:rPr>
                            </w:pPr>
                            <w:r>
                              <w:rPr>
                                <w:color w:val="000000"/>
                              </w:rPr>
                              <w:t>Note del RPCT:</w:t>
                            </w:r>
                          </w:p>
                          <w:p w:rsidR="00F6758F" w:rsidRDefault="00F6758F">
                            <w:pPr>
                              <w:pStyle w:val="Contenutocornice"/>
                              <w:rPr>
                                <w:color w:val="000000"/>
                              </w:rPr>
                            </w:pPr>
                            <w:r>
                              <w:rPr>
                                <w:color w:val="000000"/>
                              </w:rPr>
                              <w:t>Nessuna</w:t>
                            </w:r>
                          </w:p>
                        </w:txbxContent>
                      </wps:txbx>
                      <wps:bodyPr anchor="t">
                        <a:prstTxWarp prst="textNoShape">
                          <a:avLst/>
                        </a:prstTxWarp>
                        <a:noAutofit/>
                      </wps:bodyPr>
                    </wps:wsp>
                  </a:graphicData>
                </a:graphic>
              </wp:anchor>
            </w:drawing>
          </mc:Choice>
          <mc:Fallback>
            <w:pict>
              <v:rect w14:anchorId="61446524" id="Casella di testo 27" o:spid="_x0000_s1042" style="position:absolute;margin-left:0;margin-top:5.65pt;width:481.9pt;height:42.5pt;z-index:251671040;visibility:visible;mso-wrap-style:square;mso-wrap-distance-left:8.75pt;mso-wrap-distance-top:.05pt;mso-wrap-distance-right:10.55pt;mso-wrap-distance-bottom:1.7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" o:allowincell="f" fillcolor="#deeaf6 [664]" strokeweight=".5pt">
                <v:stroke joinstyle="round"/>
                <v:textbox>
                  <w:txbxContent>
                    <w:p w:rsidR="00F6758F" w:rsidRDefault="00F6758F">
                      <w:pPr>
                        <w:pStyle w:val="Contenutocornice"/>
                        <w:rPr>
                          <w:color w:val="000000"/>
                        </w:rPr>
                      </w:pPr>
                      <w:r>
                        <w:rPr>
                          <w:color w:val="000000"/>
                        </w:rPr>
                        <w:t>Note del RPCT:</w:t>
                      </w:r>
                    </w:p>
                    <w:p w:rsidR="00F6758F" w:rsidRDefault="00F6758F">
                      <w:pPr>
                        <w:pStyle w:val="Contenutocornice"/>
                        <w:rPr>
                          <w:color w:val="000000"/>
                        </w:rPr>
                      </w:pPr>
                      <w:r>
                        <w:rPr>
                          <w:color w:val="000000"/>
                        </w:rPr>
                        <w:t>Nessuna</w:t>
                      </w:r>
                    </w:p>
                  </w:txbxContent>
                </v:textbox>
                <w10:wrap type="topAndBottom"/>
              </v:rect>
            </w:pict>
          </mc:Fallback>
        </mc:AlternateContent>
      </w:r>
    </w:p>
    <w:p w:rsidR="006440AE" w:rsidRDefault="00F6758F">
      <w:pPr>
        <w:pStyle w:val="Titolo1"/>
      </w:pPr>
      <w:bookmarkStart w:id="26" w:name="_Toc189121509"/>
      <w:r>
        <w:t>MONITORAGGIO MISURE SPECIFICHE</w:t>
      </w:r>
      <w:bookmarkEnd w:id="26"/>
    </w:p>
    <w:p w:rsidR="006440AE" w:rsidRDefault="006440AE"/>
    <w:p w:rsidR="006440AE" w:rsidRDefault="00F6758F">
      <w:pPr>
        <w:jc w:val="both"/>
      </w:pPr>
      <w:r>
        <w:t>Il presente allegato illustra l’andamento relativo all’attuazione delle singole misure specifiche programmate nell’anno di riferimento del PTPC.</w:t>
      </w:r>
    </w:p>
    <w:p w:rsidR="006440AE" w:rsidRDefault="006440AE"/>
    <w:p w:rsidR="006440AE" w:rsidRDefault="00F6758F">
      <w:pPr>
        <w:pStyle w:val="Titolo2"/>
      </w:pPr>
      <w:bookmarkStart w:id="27" w:name="_Toc189121510"/>
      <w:r>
        <w:t>Misure specifiche di controllo</w:t>
      </w:r>
      <w:bookmarkEnd w:id="27"/>
    </w:p>
    <w:p w:rsidR="006440AE" w:rsidRDefault="006440AE"/>
    <w:p w:rsidR="006440AE" w:rsidRDefault="00F6758F">
      <w:pPr>
        <w:jc w:val="both"/>
      </w:pPr>
      <w:r>
        <w:t>Con riferimento all’attuazione delle misure specifiche di controllo, nell’anno di riferimento del PTPCT o della sezione Anticorruzione e Trasparenza del PIAO si evidenzia quanto segue:</w:t>
      </w:r>
    </w:p>
    <w:p w:rsidR="006440AE" w:rsidRDefault="00F6758F">
      <w:pPr>
        <w:numPr>
          <w:ilvl w:val="0"/>
          <w:numId w:val="22"/>
        </w:numPr>
        <w:jc w:val="both"/>
      </w:pPr>
      <w:r>
        <w:t>Numero di misure programmate: 31;</w:t>
      </w:r>
    </w:p>
    <w:p w:rsidR="006440AE" w:rsidRDefault="00F6758F">
      <w:pPr>
        <w:numPr>
          <w:ilvl w:val="0"/>
          <w:numId w:val="22"/>
        </w:numPr>
        <w:jc w:val="both"/>
      </w:pPr>
      <w:r>
        <w:t>Numero di misure attuate nei tempi previsti: 20;</w:t>
      </w:r>
    </w:p>
    <w:p w:rsidR="006440AE" w:rsidRDefault="00F6758F">
      <w:pPr>
        <w:numPr>
          <w:ilvl w:val="0"/>
          <w:numId w:val="22"/>
        </w:numPr>
        <w:jc w:val="both"/>
      </w:pPr>
      <w:r>
        <w:t>Numero di misure non attuate: 11.</w:t>
      </w:r>
    </w:p>
    <w:p w:rsidR="006440AE" w:rsidRDefault="006440AE">
      <w:pPr>
        <w:jc w:val="both"/>
      </w:pPr>
    </w:p>
    <w:p w:rsidR="006440AE" w:rsidRDefault="00F6758F">
      <w:pPr>
        <w:jc w:val="both"/>
      </w:pPr>
      <w:r>
        <w:t>In particolare, per quanto riguarda le misure specifiche di controllo non attuate si evidenzia che:</w:t>
      </w:r>
    </w:p>
    <w:p w:rsidR="006440AE" w:rsidRDefault="00F6758F">
      <w:pPr>
        <w:numPr>
          <w:ilvl w:val="0"/>
          <w:numId w:val="23"/>
        </w:numPr>
        <w:jc w:val="both"/>
      </w:pPr>
      <w:r>
        <w:t>per 1 misure non sono state ancora avviate le attività ma saranno avviate nei tempi previsti dal PTPCT o dalla sezione Anticorruzione e Trasparenza del PIAO;</w:t>
      </w:r>
    </w:p>
    <w:p w:rsidR="006440AE" w:rsidRDefault="00F6758F">
      <w:pPr>
        <w:numPr>
          <w:ilvl w:val="0"/>
          <w:numId w:val="23"/>
        </w:numPr>
        <w:jc w:val="both"/>
      </w:pPr>
      <w:r>
        <w:t>2 misure sono attualmente in corso di adozione;</w:t>
      </w:r>
    </w:p>
    <w:p w:rsidR="006440AE" w:rsidRDefault="00F6758F">
      <w:pPr>
        <w:numPr>
          <w:ilvl w:val="0"/>
          <w:numId w:val="23"/>
        </w:numPr>
        <w:jc w:val="both"/>
      </w:pPr>
      <w:r>
        <w:t>per 8 misure non sono state ancora avviate le attività per l’adozione e non saranno avviate nei tempi previsti dal PTPCT o dalla sezione Anticorruzione e Trasparenza del PIAO a causa di:</w:t>
      </w:r>
    </w:p>
    <w:p w:rsidR="006440AE" w:rsidRDefault="00F6758F">
      <w:pPr>
        <w:numPr>
          <w:ilvl w:val="1"/>
          <w:numId w:val="23"/>
        </w:numPr>
        <w:jc w:val="both"/>
      </w:pPr>
      <w:r>
        <w:t>A fronte dell'entrata in vigore del D.lgs. 36/2023 che ha apportato modifiche sostanziali a tutta la disciplina degli appalti, è opportuno procedere ad una più generale modifica di tutta la regolamentazione interna al fine di recepire tutte le novità normative. Vista la recente nomina del Direttore del Dipartimento è necessario un suo coinvolgimento nella materia e uno slittamento della scadenza.</w:t>
      </w:r>
    </w:p>
    <w:p w:rsidR="006440AE" w:rsidRDefault="006440AE">
      <w:pPr>
        <w:jc w:val="both"/>
      </w:pPr>
    </w:p>
    <w:p w:rsidR="006440AE" w:rsidRDefault="00F6758F">
      <w:pPr>
        <w:jc w:val="both"/>
      </w:pPr>
      <w:r>
        <w:t>Di seguito si fornisce il dettaglio del monitoraggio per ogni singola misura di controllo programmata.</w:t>
      </w:r>
    </w:p>
    <w:p w:rsidR="006440AE" w:rsidRDefault="006440AE">
      <w:pPr>
        <w:jc w:val="both"/>
      </w:pPr>
    </w:p>
    <w:p w:rsidR="006440AE" w:rsidRDefault="00F6758F">
      <w:pPr>
        <w:jc w:val="both"/>
      </w:pPr>
      <w:r>
        <w:t>Area di rischio: B. Provvedimenti ampliativi della sfera giuridica senza effetto economico diretto ed immediato (es. autorizzazioni e concessioni, etc.).</w:t>
      </w:r>
    </w:p>
    <w:p w:rsidR="006440AE" w:rsidRDefault="00F6758F">
      <w:pPr>
        <w:jc w:val="both"/>
      </w:pPr>
      <w:r>
        <w:t>Denominazione misura: MEDFIS002 - Controllo annuale a campione del 5% delle cartelle cliniche dei pazienti trattati e in trattamento nell’anno di riferimento per ciascuna struttura.</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B. Provvedimenti ampliativi della sfera giuridica senza effetto economico diretto ed immediato (es. autorizzazioni e concessioni, etc.)</w:t>
      </w:r>
    </w:p>
    <w:p w:rsidR="006440AE" w:rsidRDefault="00F6758F">
      <w:pPr>
        <w:jc w:val="both"/>
      </w:pPr>
      <w:r>
        <w:t>Denominazione misura: PREVEN007 - Verifica a campione di 10 pratiche (annuali) per Area Funzionale estraendo casualmente dall’applicativo SISPC.</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B. Provvedimenti ampliativi della sfera giuridica senza effetto economico diretto ed immediato (es. autorizzazioni e concessioni, etc.).</w:t>
      </w:r>
    </w:p>
    <w:p w:rsidR="006440AE" w:rsidRDefault="00F6758F">
      <w:pPr>
        <w:jc w:val="both"/>
      </w:pPr>
      <w:r>
        <w:t>Denominazione misura: PREVEN007 - Applicazione della DGRT 1012/2015 e della DDG 4443/2009 attraverso l'analisi del rischio e correlata programmazione di attività di supervisione professionale, analisi e valutazione delle risultanze scaturite dall'attività di supervisione professionale.</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B. Provvedimenti ampliativi della sfera giuridica senza effetto economico diretto ed immediato (es. autorizzazioni e concessioni, etc.).</w:t>
      </w:r>
    </w:p>
    <w:p w:rsidR="006440AE" w:rsidRDefault="00F6758F">
      <w:pPr>
        <w:jc w:val="both"/>
      </w:pPr>
      <w:r>
        <w:t>Denominazione misura: PREVEN009 - Applicazione della DGRT 1012/2015 e della DDG 4443/2009 attraverso l'analisi del rischio e correlata programmazione di attività di supervisione professionale, analisi e valutazione delle risultanze scaturite dall'attività di supervisione professionale.</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B. Provvedimenti ampliativi della sfera giuridica senza effetto economico diretto ed immediato (es. autorizzazioni e concessioni, etc.).</w:t>
      </w:r>
    </w:p>
    <w:p w:rsidR="006440AE" w:rsidRDefault="00F6758F">
      <w:pPr>
        <w:jc w:val="both"/>
      </w:pPr>
      <w:r>
        <w:t>Denominazione misura: PREVEN010 - Verifica a campione di 10 pratiche (annuali) per Area Funzionale estraendo casualmente dall’applicativo SISPC.</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C. Provvedimenti ampliativi della sfera giuridica con effetto economico diretto ed immediato (es. erogazione di sovvenzioni, contributi, sussidi, etc.).</w:t>
      </w:r>
    </w:p>
    <w:p w:rsidR="006440AE" w:rsidRDefault="00F6758F">
      <w:pPr>
        <w:jc w:val="both"/>
      </w:pPr>
      <w:r>
        <w:t>Denominazione misura: MEDFIS001 - Controllo annuale a campione del 5% delle cartelle cliniche dei pazienti trattati e in trattamento nell’anno di riferimento per ciascuna struttura.</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C. Provvedimenti ampliativi della sfera giuridica con effetto economico diretto ed immediato (es. erogazione di sovvenzioni, contributi, sussidi, etc.).</w:t>
      </w:r>
    </w:p>
    <w:p w:rsidR="006440AE" w:rsidRDefault="00F6758F">
      <w:pPr>
        <w:jc w:val="both"/>
      </w:pPr>
      <w:r>
        <w:t>Denominazione misura: SAOTER006 - Effettuazione di un monitoraggio trimestrale da parte dall’Ufficio rette per la verifica della corretta applicazione dei criteri previsti per l’inserimento nella lista di attesa.</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C. Provvedimenti ampliativi della sfera giuridica con effetto economico diretto ed immediato (es. erogazione di sovvenzioni, contributi, sussidi, etc.).</w:t>
      </w:r>
    </w:p>
    <w:p w:rsidR="006440AE" w:rsidRDefault="00F6758F">
      <w:pPr>
        <w:jc w:val="both"/>
      </w:pPr>
      <w:r>
        <w:t>Denominazione misura: SAOTER006 - Effettuazione di un monitoraggio trimestrale da parte dall’Ufficio rette per la verifica del corretto inserimento dell’avente diritto nella RSA/RSD/CD.</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C. Provvedimenti ampliativi della sfera giuridica con effetto economico diretto ed immediato (es. erogazione di sovvenzioni, contributi, sussidi, etc.).</w:t>
      </w:r>
    </w:p>
    <w:p w:rsidR="006440AE" w:rsidRDefault="00F6758F">
      <w:pPr>
        <w:jc w:val="both"/>
      </w:pPr>
      <w:r>
        <w:t>Denominazione misura: SAOTER006 - Effettuazione di controlli a campione per la verifica dell’applicazione della procedura da parte del Direttore della Struttura.</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C. Provvedimenti ampliativi della sfera giuridica con effetto economico diretto ed immediato (es. erogazione di sovvenzioni, contributi, sussidi, etc.).</w:t>
      </w:r>
    </w:p>
    <w:p w:rsidR="006440AE" w:rsidRDefault="00F6758F">
      <w:pPr>
        <w:jc w:val="both"/>
      </w:pPr>
      <w:r>
        <w:t>Denominazione misura: SAOTER007 - Al termine del percorso regionale di revisione dei meccanismi di esenzione e compartecipazione alla spesa per le prestazioni odontoiatriche, rivalutazione di misure sostenibili per la riduzione del rischio in base agli strumenti di controllo disponibili.</w:t>
      </w:r>
    </w:p>
    <w:p w:rsidR="006440AE" w:rsidRDefault="00F6758F">
      <w:pPr>
        <w:jc w:val="both"/>
      </w:pPr>
      <w:r>
        <w:t>La misura non è stata attuata nei tempi previsti dal PTPCT o dalla sezione Anticorruzione e Trasparenza del PIAO, in particolare: non sono state ancora avviate le attività per l’adozione della misura, ma saranno avviate nei tempi previsti dal PTPCT o dalla sezione Anticorruzione e Trasparenza del PIAO.</w:t>
      </w:r>
    </w:p>
    <w:p w:rsidR="006440AE" w:rsidRDefault="006440AE">
      <w:pPr>
        <w:jc w:val="both"/>
      </w:pPr>
    </w:p>
    <w:p w:rsidR="006440AE" w:rsidRDefault="00F6758F">
      <w:pPr>
        <w:jc w:val="both"/>
      </w:pPr>
      <w:r>
        <w:t>Area di rischio: D.3 Contratti pubblici - Selezione del contraente.</w:t>
      </w:r>
    </w:p>
    <w:p w:rsidR="006440AE" w:rsidRDefault="00F6758F">
      <w:pPr>
        <w:jc w:val="both"/>
      </w:pPr>
      <w:r>
        <w:t>Denominazione misura: ARETEC001 - Implementazione di un sistema di controlli interni a campione di livello dipartimentale sugli affidamenti di valore superiore a €126.000.</w:t>
      </w:r>
    </w:p>
    <w:p w:rsidR="006440AE" w:rsidRDefault="00F6758F">
      <w:pPr>
        <w:jc w:val="both"/>
      </w:pPr>
      <w:r>
        <w:t>La misura non è stata attuata nei tempi previsti dal PTPCT o dalla sezione Anticorruzione e Trasparenza del PIAO, in particolare: non sono state ancora avviate le attività per l’adozione della misura e non saranno avviate nei tempi previsti dal PTPCT o dalla sezione Anticorruzione e Trasparenza del PIAO a causa di:</w:t>
      </w:r>
    </w:p>
    <w:p w:rsidR="006440AE" w:rsidRDefault="00F6758F">
      <w:pPr>
        <w:numPr>
          <w:ilvl w:val="0"/>
          <w:numId w:val="24"/>
        </w:numPr>
        <w:jc w:val="both"/>
      </w:pPr>
      <w:r>
        <w:t>A fronte dell'entrata in vigore del D.lgs. 36/2023 che ha apportato modifiche sostanziali a tutta la disciplina degli appalti, è opportuno procedere ad una più generale modifica di tutta la regolamentazione interna al fine di recepire tutte le novità normative. Vista la recente nomina del Direttore del Dipartimento è necessario un suo coinvolgimento nella materia e uno slittamento della scadenza.</w:t>
      </w:r>
    </w:p>
    <w:p w:rsidR="006440AE" w:rsidRDefault="006440AE">
      <w:pPr>
        <w:jc w:val="both"/>
      </w:pPr>
    </w:p>
    <w:p w:rsidR="006440AE" w:rsidRDefault="00F6758F">
      <w:pPr>
        <w:jc w:val="both"/>
      </w:pPr>
      <w:r>
        <w:t>Area di rischio: D.3 Contratti pubblici - Selezione del contraente.</w:t>
      </w:r>
    </w:p>
    <w:p w:rsidR="006440AE" w:rsidRDefault="00F6758F">
      <w:pPr>
        <w:jc w:val="both"/>
      </w:pPr>
      <w:r>
        <w:t>Denominazione misura: ARETEC001 - Definizione di procedure interne per individuare situazioni di frazionamento o affidamenti ricorrenti attraverso l’utilizzo di appositi indicatori previsti dal PNA 2022-2024.</w:t>
      </w:r>
    </w:p>
    <w:p w:rsidR="006440AE" w:rsidRDefault="00F6758F">
      <w:pPr>
        <w:jc w:val="both"/>
      </w:pPr>
      <w:r>
        <w:t>La misura non è stata attuata nei tempi previsti dal PTPCT o dalla sezione Anticorruzione e Trasparenza del PIAO, in particolare: non sono state ancora avviate le attività per l’adozione della misura e non saranno avviate nei tempi previsti dal PTPCT o dalla sezione Anticorruzione e Trasparenza del PIAO a causa di:</w:t>
      </w:r>
    </w:p>
    <w:p w:rsidR="006440AE" w:rsidRDefault="00F6758F">
      <w:pPr>
        <w:numPr>
          <w:ilvl w:val="0"/>
          <w:numId w:val="25"/>
        </w:numPr>
        <w:jc w:val="both"/>
      </w:pPr>
      <w:r>
        <w:t>A fronte dell'entrata in vigore del D.lgs. 36/2023 che ha apportato modifiche sostanziali a tutta la disciplina degli appalti, è opportuno procedere ad una più generale modifica di tutta la regolamentazione interna al fine di recepire tutte le novità normative. Vista la recente nomina del Direttore del Dipartimento è necessario un suo coinvolgimento nella materia e uno slittamento della scadenza.</w:t>
      </w:r>
    </w:p>
    <w:p w:rsidR="006440AE" w:rsidRDefault="006440AE">
      <w:pPr>
        <w:jc w:val="both"/>
      </w:pPr>
    </w:p>
    <w:p w:rsidR="006440AE" w:rsidRDefault="00F6758F">
      <w:pPr>
        <w:jc w:val="both"/>
      </w:pPr>
      <w:r>
        <w:t>Area di rischio: D.3 Contratti pubblici - Selezione del contraente.</w:t>
      </w:r>
    </w:p>
    <w:p w:rsidR="006440AE" w:rsidRDefault="00F6758F">
      <w:pPr>
        <w:jc w:val="both"/>
      </w:pPr>
      <w:r>
        <w:t>Denominazione misura: ARETEC002 - Implementazione di un sistema di controlli interni a campione di livello dipartimentale sugli affidamenti di valore superiore a €135.000.</w:t>
      </w:r>
    </w:p>
    <w:p w:rsidR="006440AE" w:rsidRDefault="00F6758F">
      <w:pPr>
        <w:jc w:val="both"/>
      </w:pPr>
      <w:r>
        <w:t>La misura non è stata attuata nei tempi previsti dal PTPCT o dalla sezione Anticorruzione e Trasparenza del PIAO, in particolare: non sono state ancora avviate le attività per l’adozione della misura e non saranno avviate nei tempi previsti dal PTPCT o dalla sezione Anticorruzione e Trasparenza del PIAO a causa di:</w:t>
      </w:r>
    </w:p>
    <w:p w:rsidR="006440AE" w:rsidRDefault="00F6758F">
      <w:pPr>
        <w:numPr>
          <w:ilvl w:val="0"/>
          <w:numId w:val="26"/>
        </w:numPr>
        <w:jc w:val="both"/>
      </w:pPr>
      <w:r>
        <w:t>A fronte dell'entrata in vigore del D.lgs. 36/2023 che ha apportato modifiche sostanziali a tutta la disciplina degli appalti, è opportuno procedere ad una più generale modifica di tutta la regolamentazione interna al fine di recepire tutte le novità normative. Vista la recente nomina del Direttore del Dipartimento è necessario un suo coinvolgimento nella materia e uno slittamento della scadenza.</w:t>
      </w:r>
    </w:p>
    <w:p w:rsidR="006440AE" w:rsidRDefault="006440AE">
      <w:pPr>
        <w:jc w:val="both"/>
      </w:pPr>
    </w:p>
    <w:p w:rsidR="006440AE" w:rsidRDefault="00F6758F">
      <w:pPr>
        <w:jc w:val="both"/>
      </w:pPr>
      <w:r>
        <w:t>Area di rischio: D.3 Contratti pubblici - Selezione del contraente.</w:t>
      </w:r>
    </w:p>
    <w:p w:rsidR="006440AE" w:rsidRDefault="00F6758F">
      <w:pPr>
        <w:jc w:val="both"/>
      </w:pPr>
      <w:r>
        <w:t>Denominazione misura: ARETEC003 - Implementazione di un sistema di controlli interni a campione di livello dipartimentale sugli affidamenti di valore compreso tra il 90% e il 100% della soglia comunitaria.</w:t>
      </w:r>
    </w:p>
    <w:p w:rsidR="006440AE" w:rsidRDefault="00F6758F">
      <w:pPr>
        <w:jc w:val="both"/>
      </w:pPr>
      <w:r>
        <w:t>La misura non è stata attuata nei tempi previsti dal PTPCT o dalla sezione Anticorruzione e Trasparenza del PIAO, in particolare: non sono state ancora avviate le attività per l’adozione della misura e non saranno avviate nei tempi previsti dal PTPCT o dalla sezione Anticorruzione e Trasparenza del PIAO a causa di:</w:t>
      </w:r>
    </w:p>
    <w:p w:rsidR="006440AE" w:rsidRDefault="00F6758F">
      <w:pPr>
        <w:numPr>
          <w:ilvl w:val="0"/>
          <w:numId w:val="27"/>
        </w:numPr>
        <w:jc w:val="both"/>
      </w:pPr>
      <w:r>
        <w:t>A fronte dell'entrata in vigore del D.lgs. 36/2023 che ha apportato modifiche sostanziali a tutta la disciplina degli appalti, è opportuno procedere ad una più generale modifica di tutta la regolamentazione interna al fine di recepire tutte le novità normative. Vista la recente nomina del Direttore del Dipartimento è necessario un suo coinvolgimento nella materia e uno slittamento della scadenza.</w:t>
      </w:r>
    </w:p>
    <w:p w:rsidR="006440AE" w:rsidRDefault="006440AE">
      <w:pPr>
        <w:jc w:val="both"/>
      </w:pPr>
    </w:p>
    <w:p w:rsidR="006440AE" w:rsidRDefault="00F6758F">
      <w:pPr>
        <w:jc w:val="both"/>
      </w:pPr>
      <w:r>
        <w:t>Area di rischio: D.3 Contratti pubblici - Selezione del contraente.</w:t>
      </w:r>
    </w:p>
    <w:p w:rsidR="006440AE" w:rsidRDefault="00F6758F">
      <w:pPr>
        <w:jc w:val="both"/>
      </w:pPr>
      <w:r>
        <w:t>Denominazione misura: ARETEC004 - Definizione di una check-list per la verifica della completezza e dell’adeguatezza degli atti.</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F. Gestione delle entrate, delle spese e del patrimonio.</w:t>
      </w:r>
    </w:p>
    <w:p w:rsidR="006440AE" w:rsidRDefault="00F6758F">
      <w:pPr>
        <w:jc w:val="both"/>
      </w:pPr>
      <w:r>
        <w:t>Denominazione misura: APICDG001 - Invio delle richieste di fatturazione da parte delle strutture che gestiscono il contratto in forma tracciabile e trasmissione da parte della SOC Clienti alle strutture di un report semestrale contenente gli estremi delle fatture emesse.</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F. Gestione delle entrate, delle spese e del patrimonio.</w:t>
      </w:r>
    </w:p>
    <w:p w:rsidR="006440AE" w:rsidRDefault="00F6758F">
      <w:pPr>
        <w:jc w:val="both"/>
      </w:pPr>
      <w:r>
        <w:t>Denominazione misura: APICDG002 - Verifica che tutte le fatture del quadrimestre siano messe in pagamento seguendo l’ordine di scadenza in conformità all’istruzione operativa interna “Tempistica di liquidazione e pagamento delle fatture”.</w:t>
      </w:r>
    </w:p>
    <w:p w:rsidR="006440AE" w:rsidRDefault="00F6758F">
      <w:pPr>
        <w:jc w:val="both"/>
      </w:pPr>
      <w:r>
        <w:t>La misura non è stata attuata nei tempi previsti dal PTPCT o dalla sezione Anticorruzione e Trasparenza del PIAO, in particolare: la misura è attualmente in corso di adozione.</w:t>
      </w:r>
    </w:p>
    <w:p w:rsidR="006440AE" w:rsidRDefault="006440AE">
      <w:pPr>
        <w:jc w:val="both"/>
      </w:pPr>
    </w:p>
    <w:p w:rsidR="006440AE" w:rsidRDefault="00F6758F">
      <w:pPr>
        <w:jc w:val="both"/>
      </w:pPr>
      <w:r>
        <w:t>Area di rischio: G. Controlli, verifiche, ispezioni e sanzioni.</w:t>
      </w:r>
    </w:p>
    <w:p w:rsidR="006440AE" w:rsidRDefault="00F6758F">
      <w:pPr>
        <w:jc w:val="both"/>
      </w:pPr>
      <w:r>
        <w:t>Denominazione misura: PREVEN001 - Applicazione della DGRT 1012/2015 e della DDG 4443/2009 attraverso l'analisi del rischio e correlata programmazione di attività di supervisione professionale, analisi e valutazione delle risultanze scaturite dall'attività di supervisione professionale.</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G. Controlli, verifiche, ispezioni e sanzioni.</w:t>
      </w:r>
    </w:p>
    <w:p w:rsidR="006440AE" w:rsidRDefault="00F6758F">
      <w:pPr>
        <w:jc w:val="both"/>
      </w:pPr>
      <w:r>
        <w:t>Denominazione misura: PREVEN002 - Applicazione della DGRT 1012/2015 e della DDG 4443/2009 attraverso l'analisi del rischio e correlata programmazione di attività di supervisione professionale, analisi e valutazione delle risultanze scaturite dall'attività di supervisione professionale.</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G. Controlli, verifiche, ispezioni e sanzioni.</w:t>
      </w:r>
    </w:p>
    <w:p w:rsidR="006440AE" w:rsidRDefault="00F6758F">
      <w:pPr>
        <w:jc w:val="both"/>
      </w:pPr>
      <w:r>
        <w:t>Denominazione misura: PREVEN003 - Applicazione della DGRT 1012/2015 e della DDG 4443/2009 attraverso l'analisi del rischio e correlata programmazione di attività di supervisione professionale, analisi e valutazione delle risultanze scaturite dall'attività di supervisione professionale.</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G. Controlli, verifiche, ispezioni e sanzioni.</w:t>
      </w:r>
    </w:p>
    <w:p w:rsidR="006440AE" w:rsidRDefault="00F6758F">
      <w:pPr>
        <w:jc w:val="both"/>
      </w:pPr>
      <w:r>
        <w:t>Denominazione misura: PREVEN004 - Applicazione della DGRT 1012/2015 e della DDG 4443/2009 attraverso l'analisi del rischio e correlata programmazione di attività di supervisione professionale, analisi e valutazione delle risultanze scaturite dall'attività di supervisione professionale.</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W. Farmaceutica, dispositivi e altre tecnologie - Sperimentazioni cliniche.</w:t>
      </w:r>
    </w:p>
    <w:p w:rsidR="006440AE" w:rsidRDefault="00F6758F">
      <w:pPr>
        <w:jc w:val="both"/>
      </w:pPr>
      <w:r>
        <w:t>Denominazione misura: APBESE001 - Effettuazione dei controlli previsti dall’istruzione operativa “Controllo sulle ricette non considerate anomale dalla ditta che effettua il servizio di lettura ottica delle ricette”.</w:t>
      </w:r>
    </w:p>
    <w:p w:rsidR="006440AE" w:rsidRDefault="00F6758F">
      <w:pPr>
        <w:jc w:val="both"/>
      </w:pPr>
      <w:r>
        <w:t>La misura è stata attuata nei tempi previsti.</w:t>
      </w:r>
    </w:p>
    <w:p w:rsidR="006440AE" w:rsidRDefault="00F6758F">
      <w:pPr>
        <w:jc w:val="both"/>
      </w:pPr>
      <w:r>
        <w:rPr>
          <w:noProof/>
        </w:rPr>
        <mc:AlternateContent>
          <mc:Choice Requires="wps">
            <w:drawing>
              <wp:anchor distT="0" distB="23495" distL="111125" distR="133985" simplePos="0" relativeHeight="251660800" behindDoc="0" locked="0" layoutInCell="0" allowOverlap="1" wp14:anchorId="636A80F0" wp14:editId="07E1736C">
                <wp:simplePos x="0" y="0"/>
                <wp:positionH relativeFrom="column">
                  <wp:posOffset>-3810</wp:posOffset>
                </wp:positionH>
                <wp:positionV relativeFrom="paragraph">
                  <wp:posOffset>220345</wp:posOffset>
                </wp:positionV>
                <wp:extent cx="6119495" cy="815340"/>
                <wp:effectExtent l="0" t="0" r="0" b="3810"/>
                <wp:wrapTopAndBottom/>
                <wp:docPr id="18" name="Casella di testo 1"/>
                <wp:cNvGraphicFramePr/>
                <a:graphic xmlns:a="http://schemas.openxmlformats.org/drawingml/2006/main">
                  <a:graphicData uri="http://schemas.microsoft.com/office/word/2010/wordprocessingShape">
                    <wps:wsp>
                      <wps:cNvSpPr/>
                      <wps:spPr>
                        <a:xfrm>
                          <a:off x="0" y="0"/>
                          <a:ext cx="6119495" cy="815340"/>
                        </a:xfrm>
                        <a:prstGeom prst="rect">
                          <a:avLst/>
                        </a:prstGeom>
                        <a:solidFill>
                          <a:schemeClr val="accent5">
                            <a:lumMod val="20000"/>
                            <a:lumOff val="80000"/>
                          </a:schemeClr>
                        </a:solidFill>
                        <a:ln w="6350">
                          <a:solidFill>
                            <a:srgbClr val="000000"/>
                          </a:solidFill>
                          <a:round/>
                        </a:ln>
                      </wps:spPr>
                      <wps:style>
                        <a:lnRef idx="0">
                          <a:scrgbClr r="0" g="0" b="0"/>
                        </a:lnRef>
                        <a:fillRef idx="0">
                          <a:scrgbClr r="0" g="0" b="0"/>
                        </a:fillRef>
                        <a:effectRef idx="0">
                          <a:scrgbClr r="0" g="0" b="0"/>
                        </a:effectRef>
                        <a:fontRef idx="minor"/>
                      </wps:style>
                      <wps:txbx>
                        <w:txbxContent>
                          <w:p w:rsidR="00F6758F" w:rsidRDefault="00F6758F">
                            <w:pPr>
                              <w:pStyle w:val="Contenutocornice"/>
                              <w:rPr>
                                <w:color w:val="000000"/>
                              </w:rPr>
                            </w:pPr>
                            <w:r>
                              <w:rPr>
                                <w:color w:val="000000"/>
                              </w:rPr>
                              <w:t>Note del RPCT:</w:t>
                            </w:r>
                          </w:p>
                          <w:p w:rsidR="004B64C4" w:rsidRDefault="004B64C4" w:rsidP="004B64C4">
                            <w:pPr>
                              <w:pStyle w:val="Contenutocornice"/>
                              <w:jc w:val="both"/>
                              <w:rPr>
                                <w:color w:val="000000"/>
                              </w:rPr>
                            </w:pPr>
                            <w:r w:rsidRPr="00F6758F">
                              <w:rPr>
                                <w:color w:val="000000"/>
                              </w:rPr>
                              <w:t xml:space="preserve">Per una limitazione della Piattaforma di acquisizione dei Piani Triennali per la Prevenzione della Corruzione e della Trasparenza di ANAC, in questa </w:t>
                            </w:r>
                            <w:r>
                              <w:rPr>
                                <w:color w:val="000000"/>
                              </w:rPr>
                              <w:t xml:space="preserve">sezione </w:t>
                            </w:r>
                            <w:r w:rsidRPr="00F6758F">
                              <w:rPr>
                                <w:color w:val="000000"/>
                              </w:rPr>
                              <w:t xml:space="preserve">è stato possibile rendicontare il monitoraggio </w:t>
                            </w:r>
                            <w:r>
                              <w:rPr>
                                <w:color w:val="000000"/>
                              </w:rPr>
                              <w:t xml:space="preserve">solo di alcune </w:t>
                            </w:r>
                            <w:r w:rsidRPr="00F6758F">
                              <w:rPr>
                                <w:color w:val="000000"/>
                              </w:rPr>
                              <w:t>misure programmate.</w:t>
                            </w:r>
                          </w:p>
                          <w:p w:rsidR="00F6758F" w:rsidRDefault="00F6758F" w:rsidP="004B64C4">
                            <w:pPr>
                              <w:pStyle w:val="Contenutocornice"/>
                              <w:jc w:val="both"/>
                              <w:rPr>
                                <w:color w:val="000000"/>
                              </w:rPr>
                            </w:pPr>
                          </w:p>
                        </w:txbxContent>
                      </wps:txbx>
                      <wps:bodyPr wrap="square" anchor="t">
                        <a:prstTxWarp prst="textNoShape">
                          <a:avLst/>
                        </a:prstTxWarp>
                        <a:noAutofit/>
                      </wps:bodyPr>
                    </wps:wsp>
                  </a:graphicData>
                </a:graphic>
                <wp14:sizeRelV relativeFrom="margin">
                  <wp14:pctHeight>0</wp14:pctHeight>
                </wp14:sizeRelV>
              </wp:anchor>
            </w:drawing>
          </mc:Choice>
          <mc:Fallback>
            <w:pict>
              <v:rect w14:anchorId="636A80F0" id="Casella di testo 1" o:spid="_x0000_s1043" style="position:absolute;left:0;text-align:left;margin-left:-.3pt;margin-top:17.35pt;width:481.85pt;height:64.2pt;z-index:251660800;visibility:visible;mso-wrap-style:square;mso-height-percent:0;mso-wrap-distance-left:8.75pt;mso-wrap-distance-top:0;mso-wrap-distance-right:10.55pt;mso-wrap-distance-bottom:1.8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" o:allowincell="f" fillcolor="#deeaf6 [664]" strokeweight=".5pt">
                <v:stroke joinstyle="round"/>
                <v:textbox>
                  <w:txbxContent>
                    <w:p w:rsidR="00F6758F" w:rsidRDefault="00F6758F">
                      <w:pPr>
                        <w:pStyle w:val="Contenutocornice"/>
                        <w:rPr>
                          <w:color w:val="000000"/>
                        </w:rPr>
                      </w:pPr>
                      <w:r>
                        <w:rPr>
                          <w:color w:val="000000"/>
                        </w:rPr>
                        <w:t>Note del RPCT:</w:t>
                      </w:r>
                    </w:p>
                    <w:p w:rsidR="004B64C4" w:rsidRDefault="004B64C4" w:rsidP="004B64C4">
                      <w:pPr>
                        <w:pStyle w:val="Contenutocornice"/>
                        <w:jc w:val="both"/>
                        <w:rPr>
                          <w:color w:val="000000"/>
                        </w:rPr>
                      </w:pPr>
                      <w:r w:rsidRPr="00F6758F">
                        <w:rPr>
                          <w:color w:val="000000"/>
                        </w:rPr>
                        <w:t xml:space="preserve">Per una limitazione della Piattaforma di acquisizione dei Piani Triennali per la Prevenzione della Corruzione e della Trasparenza di ANAC, in questa </w:t>
                      </w:r>
                      <w:r>
                        <w:rPr>
                          <w:color w:val="000000"/>
                        </w:rPr>
                        <w:t xml:space="preserve">sezione </w:t>
                      </w:r>
                      <w:r w:rsidRPr="00F6758F">
                        <w:rPr>
                          <w:color w:val="000000"/>
                        </w:rPr>
                        <w:t xml:space="preserve">è stato possibile rendicontare il monitoraggio </w:t>
                      </w:r>
                      <w:r>
                        <w:rPr>
                          <w:color w:val="000000"/>
                        </w:rPr>
                        <w:t xml:space="preserve">solo di alcune </w:t>
                      </w:r>
                      <w:r w:rsidRPr="00F6758F">
                        <w:rPr>
                          <w:color w:val="000000"/>
                        </w:rPr>
                        <w:t>misure programmate.</w:t>
                      </w:r>
                    </w:p>
                    <w:p w:rsidR="00F6758F" w:rsidRDefault="00F6758F" w:rsidP="004B64C4">
                      <w:pPr>
                        <w:pStyle w:val="Contenutocornice"/>
                        <w:jc w:val="both"/>
                        <w:rPr>
                          <w:color w:val="000000"/>
                        </w:rPr>
                      </w:pPr>
                    </w:p>
                  </w:txbxContent>
                </v:textbox>
                <w10:wrap type="topAndBottom"/>
              </v:rect>
            </w:pict>
          </mc:Fallback>
        </mc:AlternateContent>
      </w:r>
    </w:p>
    <w:p w:rsidR="006440AE" w:rsidRDefault="006440AE"/>
    <w:p w:rsidR="006440AE" w:rsidRDefault="00F6758F">
      <w:pPr>
        <w:pStyle w:val="Titolo2"/>
      </w:pPr>
      <w:bookmarkStart w:id="28" w:name="_Toc189121511"/>
      <w:r>
        <w:t>Misure specifiche di trasparenza</w:t>
      </w:r>
      <w:bookmarkEnd w:id="28"/>
    </w:p>
    <w:p w:rsidR="006440AE" w:rsidRDefault="006440AE"/>
    <w:p w:rsidR="006440AE" w:rsidRDefault="00F6758F">
      <w:pPr>
        <w:jc w:val="both"/>
      </w:pPr>
      <w:r>
        <w:t>Con riferimento all’attuazione delle misure specifiche di trasparenza, nell’anno di riferimento del PTPCT o della sezione Anticorruzione e Trasparenza del PIAO si evidenzia quanto segue:</w:t>
      </w:r>
    </w:p>
    <w:p w:rsidR="006440AE" w:rsidRDefault="00F6758F">
      <w:pPr>
        <w:numPr>
          <w:ilvl w:val="0"/>
          <w:numId w:val="28"/>
        </w:numPr>
        <w:jc w:val="both"/>
      </w:pPr>
      <w:r>
        <w:t>Numero di misure programmate: 1;</w:t>
      </w:r>
    </w:p>
    <w:p w:rsidR="006440AE" w:rsidRDefault="00F6758F">
      <w:pPr>
        <w:numPr>
          <w:ilvl w:val="0"/>
          <w:numId w:val="28"/>
        </w:numPr>
        <w:jc w:val="both"/>
      </w:pPr>
      <w:r>
        <w:t>Numero di misure attuate nei tempi previsti: 0;</w:t>
      </w:r>
    </w:p>
    <w:p w:rsidR="006440AE" w:rsidRDefault="00F6758F">
      <w:pPr>
        <w:numPr>
          <w:ilvl w:val="0"/>
          <w:numId w:val="28"/>
        </w:numPr>
        <w:jc w:val="both"/>
      </w:pPr>
      <w:r>
        <w:t>Numero di misure non attuate: 1.</w:t>
      </w:r>
    </w:p>
    <w:p w:rsidR="006440AE" w:rsidRDefault="006440AE">
      <w:pPr>
        <w:jc w:val="both"/>
      </w:pPr>
    </w:p>
    <w:p w:rsidR="006440AE" w:rsidRDefault="00F6758F">
      <w:pPr>
        <w:jc w:val="both"/>
      </w:pPr>
      <w:r>
        <w:t>In particolare, per quanto riguarda le misure specifiche di trasparenza non attuate si evidenzia che:</w:t>
      </w:r>
    </w:p>
    <w:p w:rsidR="006440AE" w:rsidRDefault="00F6758F">
      <w:pPr>
        <w:numPr>
          <w:ilvl w:val="0"/>
          <w:numId w:val="29"/>
        </w:numPr>
        <w:jc w:val="both"/>
      </w:pPr>
      <w:r>
        <w:t>per 1 misure non sono state ancora avviate le attività per l’adozione e non saranno avviate nei tempi previsti dal PTPCT o dalla sezione Anticorruzione e Trasparenza del PIAO a causa di:</w:t>
      </w:r>
    </w:p>
    <w:p w:rsidR="006440AE" w:rsidRDefault="00F6758F">
      <w:pPr>
        <w:numPr>
          <w:ilvl w:val="1"/>
          <w:numId w:val="29"/>
        </w:numPr>
        <w:jc w:val="both"/>
      </w:pPr>
      <w:r>
        <w:t>La lista d'attesa odontoiatrica è attualmente su CUP 2.0. E' in corso a livello regionale l'adozione di una nuova cartella clinica informatizzata che sostituirà l'applicativo ARGOS.</w:t>
      </w:r>
    </w:p>
    <w:p w:rsidR="006440AE" w:rsidRDefault="006440AE">
      <w:pPr>
        <w:jc w:val="both"/>
      </w:pPr>
    </w:p>
    <w:p w:rsidR="006440AE" w:rsidRDefault="00F6758F">
      <w:pPr>
        <w:jc w:val="both"/>
      </w:pPr>
      <w:r>
        <w:t>Di seguito si fornisce il dettaglio del monitoraggio per ogni singola misura di trasparenza programmata.</w:t>
      </w:r>
    </w:p>
    <w:p w:rsidR="006440AE" w:rsidRDefault="006440AE">
      <w:pPr>
        <w:jc w:val="both"/>
      </w:pPr>
    </w:p>
    <w:p w:rsidR="006440AE" w:rsidRDefault="00F6758F">
      <w:pPr>
        <w:jc w:val="both"/>
      </w:pPr>
      <w:r>
        <w:t>Area di rischio: C. Provvedimenti ampliativi della sfera giuridica con effetto economico diretto ed immediato (es. erogazione di sovvenzioni, contributi, sussidi, etc.).</w:t>
      </w:r>
    </w:p>
    <w:p w:rsidR="006440AE" w:rsidRDefault="00F6758F">
      <w:pPr>
        <w:jc w:val="both"/>
      </w:pPr>
      <w:r>
        <w:t>Denominazione misura: SAOTER007 - Trasferimento della lista di attesa di secondo livello da CUP 2.0 a software ARGOS.</w:t>
      </w:r>
    </w:p>
    <w:p w:rsidR="006440AE" w:rsidRDefault="00F6758F">
      <w:pPr>
        <w:jc w:val="both"/>
      </w:pPr>
      <w:r>
        <w:t>La misura non è stata attuata nei tempi previsti dal PTPCT o dalla sezione Anticorruzione e Trasparenza del PIAO, in particolare: non sono state ancora avviate le attività per l’adozione della misura e non saranno avviate nei tempi previsti dal PTPCT o dalla sezione Anticorruzione e Trasparenza del PIAO a causa di:</w:t>
      </w:r>
    </w:p>
    <w:p w:rsidR="006440AE" w:rsidRDefault="00F6758F">
      <w:pPr>
        <w:numPr>
          <w:ilvl w:val="0"/>
          <w:numId w:val="30"/>
        </w:numPr>
        <w:jc w:val="both"/>
      </w:pPr>
      <w:r>
        <w:t>La lista d'attesa odontoiatrica è attualmente su CUP 2.0. È in corso a livello regionale l'adozione di una nuova cartella clinica informatizzata che sostituirà l'applicativo ARGOS.</w:t>
      </w:r>
    </w:p>
    <w:p w:rsidR="006440AE" w:rsidRDefault="006440AE">
      <w:pPr>
        <w:jc w:val="both"/>
      </w:pPr>
    </w:p>
    <w:p w:rsidR="006440AE" w:rsidRDefault="00F6758F">
      <w:r>
        <w:rPr>
          <w:noProof/>
        </w:rPr>
        <mc:AlternateContent>
          <mc:Choice Requires="wps">
            <w:drawing>
              <wp:anchor distT="0" distB="23495" distL="111125" distR="133985" simplePos="0" relativeHeight="251662848" behindDoc="0" locked="0" layoutInCell="0" allowOverlap="1" wp14:anchorId="6F15AFDA" wp14:editId="2E083230">
                <wp:simplePos x="0" y="0"/>
                <wp:positionH relativeFrom="column">
                  <wp:posOffset>0</wp:posOffset>
                </wp:positionH>
                <wp:positionV relativeFrom="paragraph">
                  <wp:posOffset>46990</wp:posOffset>
                </wp:positionV>
                <wp:extent cx="6120130" cy="539750"/>
                <wp:effectExtent l="3175" t="3175" r="3175" b="3175"/>
                <wp:wrapTopAndBottom/>
                <wp:docPr id="19" name="Casella di testo 2"/>
                <wp:cNvGraphicFramePr/>
                <a:graphic xmlns:a="http://schemas.openxmlformats.org/drawingml/2006/main">
                  <a:graphicData uri="http://schemas.microsoft.com/office/word/2010/wordprocessingShape">
                    <wps:wsp>
                      <wps:cNvSpPr/>
                      <wps:spPr>
                        <a:xfrm>
                          <a:off x="0" y="0"/>
                          <a:ext cx="6120000" cy="539640"/>
                        </a:xfrm>
                        <a:prstGeom prst="rect">
                          <a:avLst/>
                        </a:prstGeom>
                        <a:solidFill>
                          <a:schemeClr val="accent5">
                            <a:lumMod val="20000"/>
                            <a:lumOff val="80000"/>
                          </a:schemeClr>
                        </a:solidFill>
                        <a:ln w="6350">
                          <a:solidFill>
                            <a:srgbClr val="000000"/>
                          </a:solidFill>
                          <a:round/>
                        </a:ln>
                      </wps:spPr>
                      <wps:style>
                        <a:lnRef idx="0">
                          <a:scrgbClr r="0" g="0" b="0"/>
                        </a:lnRef>
                        <a:fillRef idx="0">
                          <a:scrgbClr r="0" g="0" b="0"/>
                        </a:fillRef>
                        <a:effectRef idx="0">
                          <a:scrgbClr r="0" g="0" b="0"/>
                        </a:effectRef>
                        <a:fontRef idx="minor"/>
                      </wps:style>
                      <wps:txbx>
                        <w:txbxContent>
                          <w:p w:rsidR="00F6758F" w:rsidRDefault="00F6758F">
                            <w:pPr>
                              <w:pStyle w:val="Contenutocornice"/>
                              <w:rPr>
                                <w:color w:val="000000"/>
                              </w:rPr>
                            </w:pPr>
                            <w:r>
                              <w:rPr>
                                <w:color w:val="000000"/>
                              </w:rPr>
                              <w:t>Note del RPCT:</w:t>
                            </w:r>
                          </w:p>
                          <w:p w:rsidR="00F6758F" w:rsidRDefault="00F6758F">
                            <w:pPr>
                              <w:pStyle w:val="Contenutocornice"/>
                              <w:rPr>
                                <w:color w:val="000000"/>
                              </w:rPr>
                            </w:pPr>
                            <w:r>
                              <w:rPr>
                                <w:color w:val="000000"/>
                              </w:rPr>
                              <w:t>Nessuna</w:t>
                            </w:r>
                          </w:p>
                        </w:txbxContent>
                      </wps:txbx>
                      <wps:bodyPr anchor="t">
                        <a:prstTxWarp prst="textNoShape">
                          <a:avLst/>
                        </a:prstTxWarp>
                        <a:noAutofit/>
                      </wps:bodyPr>
                    </wps:wsp>
                  </a:graphicData>
                </a:graphic>
              </wp:anchor>
            </w:drawing>
          </mc:Choice>
          <mc:Fallback>
            <w:pict>
              <v:rect w14:anchorId="6F15AFDA" id="Casella di testo 2" o:spid="_x0000_s1044" style="position:absolute;margin-left:0;margin-top:3.7pt;width:481.9pt;height:42.5pt;z-index:251662848;visibility:visible;mso-wrap-style:square;mso-wrap-distance-left:8.75pt;mso-wrap-distance-top:0;mso-wrap-distance-right:10.55pt;mso-wrap-distance-bottom:1.8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" o:allowincell="f" fillcolor="#deeaf6 [664]" strokeweight=".5pt">
                <v:stroke joinstyle="round"/>
                <v:textbox>
                  <w:txbxContent>
                    <w:p w:rsidR="00F6758F" w:rsidRDefault="00F6758F">
                      <w:pPr>
                        <w:pStyle w:val="Contenutocornice"/>
                        <w:rPr>
                          <w:color w:val="000000"/>
                        </w:rPr>
                      </w:pPr>
                      <w:r>
                        <w:rPr>
                          <w:color w:val="000000"/>
                        </w:rPr>
                        <w:t>Note del RPCT:</w:t>
                      </w:r>
                    </w:p>
                    <w:p w:rsidR="00F6758F" w:rsidRDefault="00F6758F">
                      <w:pPr>
                        <w:pStyle w:val="Contenutocornice"/>
                        <w:rPr>
                          <w:color w:val="000000"/>
                        </w:rPr>
                      </w:pPr>
                      <w:r>
                        <w:rPr>
                          <w:color w:val="000000"/>
                        </w:rPr>
                        <w:t>Nessuna</w:t>
                      </w:r>
                    </w:p>
                  </w:txbxContent>
                </v:textbox>
                <w10:wrap type="topAndBottom"/>
              </v:rect>
            </w:pict>
          </mc:Fallback>
        </mc:AlternateContent>
      </w:r>
    </w:p>
    <w:p w:rsidR="006440AE" w:rsidRDefault="00F6758F">
      <w:pPr>
        <w:pStyle w:val="Titolo2"/>
      </w:pPr>
      <w:bookmarkStart w:id="29" w:name="_Toc189121512"/>
      <w:r>
        <w:t>Misure specifiche di definizione e promozione dell’etica e di standard di comportamento</w:t>
      </w:r>
      <w:bookmarkEnd w:id="29"/>
    </w:p>
    <w:p w:rsidR="006440AE" w:rsidRDefault="006440AE"/>
    <w:p w:rsidR="006440AE" w:rsidRDefault="00F6758F">
      <w:pPr>
        <w:jc w:val="both"/>
      </w:pPr>
      <w:r>
        <w:t>Non sono state programmate misure specifiche di definizione e promozione dell’etica e di standard di comportamento.</w:t>
      </w:r>
    </w:p>
    <w:p w:rsidR="006440AE" w:rsidRDefault="006440AE">
      <w:pPr>
        <w:rPr>
          <w:u w:val="single"/>
        </w:rPr>
      </w:pPr>
    </w:p>
    <w:p w:rsidR="006440AE" w:rsidRDefault="00F6758F">
      <w:pPr>
        <w:rPr>
          <w:u w:val="single"/>
        </w:rPr>
      </w:pPr>
      <w:r>
        <w:rPr>
          <w:noProof/>
          <w:u w:val="single"/>
        </w:rPr>
        <mc:AlternateContent>
          <mc:Choice Requires="wps">
            <w:drawing>
              <wp:anchor distT="635" distB="22225" distL="111125" distR="133985" simplePos="0" relativeHeight="251663872" behindDoc="0" locked="0" layoutInCell="0" allowOverlap="1" wp14:anchorId="0B7A15CF" wp14:editId="65A36CC8">
                <wp:simplePos x="0" y="0"/>
                <wp:positionH relativeFrom="margin">
                  <wp:posOffset>0</wp:posOffset>
                </wp:positionH>
                <wp:positionV relativeFrom="paragraph">
                  <wp:posOffset>6985</wp:posOffset>
                </wp:positionV>
                <wp:extent cx="6120130" cy="539750"/>
                <wp:effectExtent l="3175" t="3175" r="3175" b="3175"/>
                <wp:wrapTopAndBottom/>
                <wp:docPr id="20" name="Casella di testo 3"/>
                <wp:cNvGraphicFramePr/>
                <a:graphic xmlns:a="http://schemas.openxmlformats.org/drawingml/2006/main">
                  <a:graphicData uri="http://schemas.microsoft.com/office/word/2010/wordprocessingShape">
                    <wps:wsp>
                      <wps:cNvSpPr/>
                      <wps:spPr>
                        <a:xfrm>
                          <a:off x="0" y="0"/>
                          <a:ext cx="6120000" cy="539640"/>
                        </a:xfrm>
                        <a:prstGeom prst="rect">
                          <a:avLst/>
                        </a:prstGeom>
                        <a:solidFill>
                          <a:schemeClr val="accent5">
                            <a:lumMod val="20000"/>
                            <a:lumOff val="80000"/>
                          </a:schemeClr>
                        </a:solidFill>
                        <a:ln w="6350">
                          <a:solidFill>
                            <a:srgbClr val="000000"/>
                          </a:solidFill>
                          <a:round/>
                        </a:ln>
                      </wps:spPr>
                      <wps:style>
                        <a:lnRef idx="0">
                          <a:scrgbClr r="0" g="0" b="0"/>
                        </a:lnRef>
                        <a:fillRef idx="0">
                          <a:scrgbClr r="0" g="0" b="0"/>
                        </a:fillRef>
                        <a:effectRef idx="0">
                          <a:scrgbClr r="0" g="0" b="0"/>
                        </a:effectRef>
                        <a:fontRef idx="minor"/>
                      </wps:style>
                      <wps:txbx>
                        <w:txbxContent>
                          <w:p w:rsidR="00F6758F" w:rsidRDefault="00F6758F">
                            <w:pPr>
                              <w:pStyle w:val="Contenutocornice"/>
                              <w:rPr>
                                <w:color w:val="000000"/>
                              </w:rPr>
                            </w:pPr>
                            <w:r>
                              <w:rPr>
                                <w:color w:val="000000"/>
                              </w:rPr>
                              <w:t>Note del RPCT:</w:t>
                            </w:r>
                          </w:p>
                          <w:p w:rsidR="00F6758F" w:rsidRDefault="00F6758F">
                            <w:pPr>
                              <w:pStyle w:val="Contenutocornice"/>
                              <w:rPr>
                                <w:color w:val="000000"/>
                              </w:rPr>
                            </w:pPr>
                            <w:r>
                              <w:rPr>
                                <w:color w:val="000000"/>
                              </w:rPr>
                              <w:t>Nessuna</w:t>
                            </w:r>
                          </w:p>
                        </w:txbxContent>
                      </wps:txbx>
                      <wps:bodyPr anchor="t">
                        <a:prstTxWarp prst="textNoShape">
                          <a:avLst/>
                        </a:prstTxWarp>
                        <a:noAutofit/>
                      </wps:bodyPr>
                    </wps:wsp>
                  </a:graphicData>
                </a:graphic>
              </wp:anchor>
            </w:drawing>
          </mc:Choice>
          <mc:Fallback>
            <w:pict>
              <v:rect w14:anchorId="0B7A15CF" id="Casella di testo 3" o:spid="_x0000_s1045" style="position:absolute;margin-left:0;margin-top:.55pt;width:481.9pt;height:42.5pt;z-index:251663872;visibility:visible;mso-wrap-style:square;mso-wrap-distance-left:8.75pt;mso-wrap-distance-top:.05pt;mso-wrap-distance-right:10.55pt;mso-wrap-distance-bottom:1.7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" o:allowincell="f" fillcolor="#deeaf6 [664]" strokeweight=".5pt">
                <v:stroke joinstyle="round"/>
                <v:textbox>
                  <w:txbxContent>
                    <w:p w:rsidR="00F6758F" w:rsidRDefault="00F6758F">
                      <w:pPr>
                        <w:pStyle w:val="Contenutocornice"/>
                        <w:rPr>
                          <w:color w:val="000000"/>
                        </w:rPr>
                      </w:pPr>
                      <w:r>
                        <w:rPr>
                          <w:color w:val="000000"/>
                        </w:rPr>
                        <w:t>Note del RPCT:</w:t>
                      </w:r>
                    </w:p>
                    <w:p w:rsidR="00F6758F" w:rsidRDefault="00F6758F">
                      <w:pPr>
                        <w:pStyle w:val="Contenutocornice"/>
                        <w:rPr>
                          <w:color w:val="000000"/>
                        </w:rPr>
                      </w:pPr>
                      <w:r>
                        <w:rPr>
                          <w:color w:val="000000"/>
                        </w:rPr>
                        <w:t>Nessuna</w:t>
                      </w:r>
                    </w:p>
                  </w:txbxContent>
                </v:textbox>
                <w10:wrap type="topAndBottom" anchorx="margin"/>
              </v:rect>
            </w:pict>
          </mc:Fallback>
        </mc:AlternateContent>
      </w:r>
    </w:p>
    <w:p w:rsidR="006440AE" w:rsidRDefault="00F6758F">
      <w:pPr>
        <w:pStyle w:val="Titolo2"/>
      </w:pPr>
      <w:bookmarkStart w:id="30" w:name="_Toc189121513"/>
      <w:r>
        <w:t>Misure specifiche di regolamentazione</w:t>
      </w:r>
      <w:bookmarkEnd w:id="30"/>
    </w:p>
    <w:p w:rsidR="006440AE" w:rsidRDefault="006440AE">
      <w:pPr>
        <w:rPr>
          <w:u w:val="single"/>
        </w:rPr>
      </w:pPr>
    </w:p>
    <w:p w:rsidR="006440AE" w:rsidRDefault="00F6758F">
      <w:pPr>
        <w:jc w:val="both"/>
      </w:pPr>
      <w:r>
        <w:t>Con riferimento all’attuazione delle misure specifiche di regolamentazione, nell’anno di riferimento del PTPCT o della sezione Anticorruzione e Trasparenza del PIAO si evidenzia quanto segue:</w:t>
      </w:r>
    </w:p>
    <w:p w:rsidR="006440AE" w:rsidRDefault="00F6758F">
      <w:pPr>
        <w:numPr>
          <w:ilvl w:val="0"/>
          <w:numId w:val="31"/>
        </w:numPr>
        <w:jc w:val="both"/>
      </w:pPr>
      <w:r>
        <w:t>Numero di misure programmate: 6;</w:t>
      </w:r>
    </w:p>
    <w:p w:rsidR="006440AE" w:rsidRDefault="00F6758F">
      <w:pPr>
        <w:numPr>
          <w:ilvl w:val="0"/>
          <w:numId w:val="31"/>
        </w:numPr>
        <w:jc w:val="both"/>
      </w:pPr>
      <w:r>
        <w:t>Numero di misure attuate nei tempi previsti: 5;</w:t>
      </w:r>
    </w:p>
    <w:p w:rsidR="006440AE" w:rsidRDefault="00F6758F">
      <w:pPr>
        <w:numPr>
          <w:ilvl w:val="0"/>
          <w:numId w:val="31"/>
        </w:numPr>
        <w:jc w:val="both"/>
      </w:pPr>
      <w:r>
        <w:t>Numero di misure non attuate: 1.</w:t>
      </w:r>
    </w:p>
    <w:p w:rsidR="006440AE" w:rsidRDefault="006440AE">
      <w:pPr>
        <w:jc w:val="both"/>
        <w:rPr>
          <w:u w:val="single"/>
        </w:rPr>
      </w:pPr>
    </w:p>
    <w:p w:rsidR="006440AE" w:rsidRDefault="00F6758F">
      <w:pPr>
        <w:jc w:val="both"/>
      </w:pPr>
      <w:r>
        <w:t>In particolare, per quanto riguarda le misure specifiche di regolamentazione non attuate si evidenzia che:</w:t>
      </w:r>
    </w:p>
    <w:p w:rsidR="006440AE" w:rsidRDefault="00F6758F">
      <w:pPr>
        <w:numPr>
          <w:ilvl w:val="0"/>
          <w:numId w:val="32"/>
        </w:numPr>
        <w:jc w:val="both"/>
      </w:pPr>
      <w:r>
        <w:t>1 misura è attualmente in corso di adozione.</w:t>
      </w:r>
    </w:p>
    <w:p w:rsidR="006440AE" w:rsidRDefault="006440AE">
      <w:pPr>
        <w:jc w:val="both"/>
        <w:rPr>
          <w:u w:val="single"/>
        </w:rPr>
      </w:pPr>
    </w:p>
    <w:p w:rsidR="006440AE" w:rsidRDefault="00F6758F">
      <w:pPr>
        <w:jc w:val="both"/>
      </w:pPr>
      <w:r>
        <w:t>Di seguito si fornisce il dettaglio del monitoraggio per ogni singola misura di regolamentazione programmata.</w:t>
      </w:r>
    </w:p>
    <w:p w:rsidR="006440AE" w:rsidRDefault="006440AE">
      <w:pPr>
        <w:jc w:val="both"/>
        <w:rPr>
          <w:u w:val="single"/>
        </w:rPr>
      </w:pPr>
    </w:p>
    <w:p w:rsidR="006440AE" w:rsidRDefault="00F6758F">
      <w:pPr>
        <w:jc w:val="both"/>
      </w:pPr>
      <w:r>
        <w:t>Area di rischio: C. Provvedimenti ampliativi della sfera giuridica con effetto economico diretto ed immediato (es. erogazione di sovvenzioni, contributi, sussidi, etc.).</w:t>
      </w:r>
    </w:p>
    <w:p w:rsidR="006440AE" w:rsidRDefault="00F6758F">
      <w:pPr>
        <w:jc w:val="both"/>
      </w:pPr>
      <w:r>
        <w:t>Denominazione misura: SAOTER004 - Elaborazione di una procedura per rimborso spese per trapianti fuori Regione che definisca modalità e tempistica dell’attività svolta dagli Uffici. Attività di condivisione tra tutte le strutture/Uffici coinvolti per uniformare tramite procedure la gestione e la tempistica delle attività.</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C. Provvedimenti ampliativi della sfera giuridica con effetto economico diretto ed immediato (es. erogazione di sovvenzioni, contributi, sussidi, etc.)</w:t>
      </w:r>
    </w:p>
    <w:p w:rsidR="006440AE" w:rsidRDefault="00F6758F">
      <w:pPr>
        <w:jc w:val="both"/>
      </w:pPr>
      <w:r>
        <w:t>Denominazione misura: SAOTER004 - Definizione della modulistica per la presentazione dell’istanza valida per il servizio di trapianti fuori Regione che contenga la dichiarazione sostitutiva ai sensi degli artt. 46/47 del DPR n. 445/2000.</w:t>
      </w:r>
    </w:p>
    <w:p w:rsidR="006440AE" w:rsidRDefault="00F6758F">
      <w:pPr>
        <w:jc w:val="both"/>
      </w:pPr>
      <w:r>
        <w:t>La misura è stata attuata nei tempi previsti.</w:t>
      </w:r>
    </w:p>
    <w:p w:rsidR="006440AE" w:rsidRDefault="006440AE">
      <w:pPr>
        <w:jc w:val="both"/>
        <w:rPr>
          <w:u w:val="single"/>
        </w:rPr>
      </w:pPr>
    </w:p>
    <w:p w:rsidR="006440AE" w:rsidRDefault="00F6758F">
      <w:pPr>
        <w:jc w:val="both"/>
      </w:pPr>
      <w:r>
        <w:t>Area di rischio: C. Provvedimenti ampliativi della sfera giuridica con effetto economico diretto ed immediato (es. erogazione di sovvenzioni, contributi, sussidi, etc.).</w:t>
      </w:r>
    </w:p>
    <w:p w:rsidR="006440AE" w:rsidRDefault="00F6758F">
      <w:pPr>
        <w:jc w:val="both"/>
      </w:pPr>
      <w:r>
        <w:t>Denominazione misura: SAOTER012 - Aggiornamento dell’apposita modulistica per la presentazione dell’istanza che contenga la dichiarazione sostitutiva ai sensi degli artt. 46/47 del DPR n. 445/2000.</w:t>
      </w:r>
    </w:p>
    <w:p w:rsidR="006440AE" w:rsidRDefault="00F6758F">
      <w:pPr>
        <w:jc w:val="both"/>
      </w:pPr>
      <w:r>
        <w:t>La misura è stata attuata nei tempi previsti.</w:t>
      </w:r>
    </w:p>
    <w:p w:rsidR="006440AE" w:rsidRDefault="006440AE">
      <w:pPr>
        <w:jc w:val="both"/>
        <w:rPr>
          <w:u w:val="single"/>
        </w:rPr>
      </w:pPr>
    </w:p>
    <w:p w:rsidR="006440AE" w:rsidRDefault="00F6758F">
      <w:pPr>
        <w:jc w:val="both"/>
      </w:pPr>
      <w:r>
        <w:t>Area di rischio: O. Attività amministrative non riconducibili ad altre aree di rischio.</w:t>
      </w:r>
    </w:p>
    <w:p w:rsidR="006440AE" w:rsidRDefault="00F6758F">
      <w:pPr>
        <w:jc w:val="both"/>
      </w:pPr>
      <w:r>
        <w:t>Denominazione misura: STAFDA008 - Predisposizione e utilizzo delle procedure richiamate all’art. 11 del regolamento aziendale approvato con delibera n. 1478/2020.</w:t>
      </w:r>
    </w:p>
    <w:p w:rsidR="006440AE" w:rsidRDefault="00F6758F">
      <w:pPr>
        <w:jc w:val="both"/>
      </w:pPr>
      <w:r>
        <w:t>La misura è stata attuata nei tempi previsti.</w:t>
      </w:r>
    </w:p>
    <w:p w:rsidR="006440AE" w:rsidRDefault="006440AE">
      <w:pPr>
        <w:jc w:val="both"/>
        <w:rPr>
          <w:u w:val="single"/>
        </w:rPr>
      </w:pPr>
    </w:p>
    <w:p w:rsidR="006440AE" w:rsidRDefault="00F6758F">
      <w:pPr>
        <w:jc w:val="both"/>
      </w:pPr>
      <w:r>
        <w:t>Area di rischio: O. Attività sanitarie non riconducibili ad altre aree di rischio.</w:t>
      </w:r>
    </w:p>
    <w:p w:rsidR="006440AE" w:rsidRDefault="00F6758F">
      <w:pPr>
        <w:jc w:val="both"/>
      </w:pPr>
      <w:r>
        <w:t>Denominazione misura: TECSAN001 - Definizione di una procedura per la gestione della produttività aggiuntiva che definisca, tra l’altro, modalità di verifica dell’equa distribuzione delle risorse destinate alla produttività aggiuntiva/ore di produttività aggiuntiva fra tutti i soggetti partecipanti al progetto.</w:t>
      </w:r>
    </w:p>
    <w:p w:rsidR="006440AE" w:rsidRDefault="00F6758F">
      <w:pPr>
        <w:jc w:val="both"/>
      </w:pPr>
      <w:r>
        <w:t>La misura non è stata attuata nei tempi previsti dal PTPCT o dalla sezione Anticorruzione e Trasparenza del PIAO, in particolare: la misura è attualmente in corso di adozione.</w:t>
      </w:r>
    </w:p>
    <w:p w:rsidR="006440AE" w:rsidRDefault="006440AE">
      <w:pPr>
        <w:jc w:val="both"/>
      </w:pPr>
    </w:p>
    <w:p w:rsidR="006440AE" w:rsidRDefault="00F6758F">
      <w:pPr>
        <w:jc w:val="both"/>
      </w:pPr>
      <w:r>
        <w:t>Area di rischio: W. Farmaceutica, dispositivi e altre tecnologie - Sperimentazioni cliniche.</w:t>
      </w:r>
    </w:p>
    <w:p w:rsidR="006440AE" w:rsidRDefault="00F6758F">
      <w:pPr>
        <w:jc w:val="both"/>
      </w:pPr>
      <w:r>
        <w:t>Denominazione misura: STAFDS003 - Effettuazione, per ciascuna proposta di sperimentazione, di un’analisi del rischio corruttivo mediante indicatori prestabiliti.</w:t>
      </w:r>
    </w:p>
    <w:p w:rsidR="006440AE" w:rsidRDefault="00F6758F">
      <w:pPr>
        <w:jc w:val="both"/>
      </w:pPr>
      <w:r>
        <w:t>La misura è stata attuata nei tempi previsti.</w:t>
      </w:r>
    </w:p>
    <w:p w:rsidR="006440AE" w:rsidRDefault="006440AE">
      <w:pPr>
        <w:jc w:val="both"/>
      </w:pPr>
    </w:p>
    <w:p w:rsidR="006440AE" w:rsidRDefault="00F6758F">
      <w:r>
        <w:rPr>
          <w:noProof/>
        </w:rPr>
        <mc:AlternateContent>
          <mc:Choice Requires="wps">
            <w:drawing>
              <wp:anchor distT="635" distB="22225" distL="111125" distR="133985" simplePos="0" relativeHeight="251664896" behindDoc="0" locked="0" layoutInCell="0" allowOverlap="1" wp14:anchorId="4991128B" wp14:editId="5D8128D3">
                <wp:simplePos x="0" y="0"/>
                <wp:positionH relativeFrom="column">
                  <wp:posOffset>0</wp:posOffset>
                </wp:positionH>
                <wp:positionV relativeFrom="paragraph">
                  <wp:posOffset>71755</wp:posOffset>
                </wp:positionV>
                <wp:extent cx="6120130" cy="539750"/>
                <wp:effectExtent l="3175" t="3175" r="3175" b="3175"/>
                <wp:wrapTopAndBottom/>
                <wp:docPr id="21" name="Casella di testo 4"/>
                <wp:cNvGraphicFramePr/>
                <a:graphic xmlns:a="http://schemas.openxmlformats.org/drawingml/2006/main">
                  <a:graphicData uri="http://schemas.microsoft.com/office/word/2010/wordprocessingShape">
                    <wps:wsp>
                      <wps:cNvSpPr/>
                      <wps:spPr>
                        <a:xfrm>
                          <a:off x="0" y="0"/>
                          <a:ext cx="6120000" cy="539640"/>
                        </a:xfrm>
                        <a:prstGeom prst="rect">
                          <a:avLst/>
                        </a:prstGeom>
                        <a:solidFill>
                          <a:schemeClr val="accent5">
                            <a:lumMod val="20000"/>
                            <a:lumOff val="80000"/>
                          </a:schemeClr>
                        </a:solidFill>
                        <a:ln w="6350">
                          <a:solidFill>
                            <a:srgbClr val="000000"/>
                          </a:solidFill>
                          <a:round/>
                        </a:ln>
                      </wps:spPr>
                      <wps:style>
                        <a:lnRef idx="0">
                          <a:scrgbClr r="0" g="0" b="0"/>
                        </a:lnRef>
                        <a:fillRef idx="0">
                          <a:scrgbClr r="0" g="0" b="0"/>
                        </a:fillRef>
                        <a:effectRef idx="0">
                          <a:scrgbClr r="0" g="0" b="0"/>
                        </a:effectRef>
                        <a:fontRef idx="minor"/>
                      </wps:style>
                      <wps:txbx>
                        <w:txbxContent>
                          <w:p w:rsidR="00F6758F" w:rsidRDefault="00F6758F">
                            <w:pPr>
                              <w:pStyle w:val="Contenutocornice"/>
                              <w:rPr>
                                <w:color w:val="000000"/>
                              </w:rPr>
                            </w:pPr>
                            <w:r>
                              <w:rPr>
                                <w:color w:val="000000"/>
                              </w:rPr>
                              <w:t>Note del RPCT:</w:t>
                            </w:r>
                          </w:p>
                          <w:p w:rsidR="00F6758F" w:rsidRDefault="00F6758F">
                            <w:pPr>
                              <w:pStyle w:val="Contenutocornice"/>
                              <w:rPr>
                                <w:color w:val="000000"/>
                              </w:rPr>
                            </w:pPr>
                            <w:r>
                              <w:rPr>
                                <w:color w:val="000000"/>
                              </w:rPr>
                              <w:t>Nessuna</w:t>
                            </w:r>
                          </w:p>
                        </w:txbxContent>
                      </wps:txbx>
                      <wps:bodyPr anchor="t">
                        <a:prstTxWarp prst="textNoShape">
                          <a:avLst/>
                        </a:prstTxWarp>
                        <a:noAutofit/>
                      </wps:bodyPr>
                    </wps:wsp>
                  </a:graphicData>
                </a:graphic>
              </wp:anchor>
            </w:drawing>
          </mc:Choice>
          <mc:Fallback>
            <w:pict>
              <v:rect w14:anchorId="4991128B" id="Casella di testo 4" o:spid="_x0000_s1046" style="position:absolute;margin-left:0;margin-top:5.65pt;width:481.9pt;height:42.5pt;z-index:251664896;visibility:visible;mso-wrap-style:square;mso-wrap-distance-left:8.75pt;mso-wrap-distance-top:.05pt;mso-wrap-distance-right:10.55pt;mso-wrap-distance-bottom:1.7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" o:allowincell="f" fillcolor="#deeaf6 [664]" strokeweight=".5pt">
                <v:stroke joinstyle="round"/>
                <v:textbox>
                  <w:txbxContent>
                    <w:p w:rsidR="00F6758F" w:rsidRDefault="00F6758F">
                      <w:pPr>
                        <w:pStyle w:val="Contenutocornice"/>
                        <w:rPr>
                          <w:color w:val="000000"/>
                        </w:rPr>
                      </w:pPr>
                      <w:r>
                        <w:rPr>
                          <w:color w:val="000000"/>
                        </w:rPr>
                        <w:t>Note del RPCT:</w:t>
                      </w:r>
                    </w:p>
                    <w:p w:rsidR="00F6758F" w:rsidRDefault="00F6758F">
                      <w:pPr>
                        <w:pStyle w:val="Contenutocornice"/>
                        <w:rPr>
                          <w:color w:val="000000"/>
                        </w:rPr>
                      </w:pPr>
                      <w:r>
                        <w:rPr>
                          <w:color w:val="000000"/>
                        </w:rPr>
                        <w:t>Nessuna</w:t>
                      </w:r>
                    </w:p>
                  </w:txbxContent>
                </v:textbox>
                <w10:wrap type="topAndBottom"/>
              </v:rect>
            </w:pict>
          </mc:Fallback>
        </mc:AlternateContent>
      </w:r>
    </w:p>
    <w:p w:rsidR="006440AE" w:rsidRDefault="00F6758F">
      <w:pPr>
        <w:pStyle w:val="Titolo2"/>
      </w:pPr>
      <w:bookmarkStart w:id="31" w:name="_Toc189121514"/>
      <w:r>
        <w:t>Misure specifiche di semplificazione</w:t>
      </w:r>
      <w:bookmarkEnd w:id="31"/>
    </w:p>
    <w:p w:rsidR="006440AE" w:rsidRDefault="006440AE">
      <w:pPr>
        <w:rPr>
          <w:u w:val="single"/>
        </w:rPr>
      </w:pPr>
    </w:p>
    <w:p w:rsidR="006440AE" w:rsidRDefault="00F6758F">
      <w:pPr>
        <w:jc w:val="both"/>
        <w:rPr>
          <w:u w:val="single"/>
        </w:rPr>
      </w:pPr>
      <w:r>
        <w:t>Non sono state programmate misure specifiche di semplificazione.</w:t>
      </w:r>
    </w:p>
    <w:p w:rsidR="006440AE" w:rsidRDefault="006440AE"/>
    <w:p w:rsidR="006440AE" w:rsidRDefault="00F6758F">
      <w:r>
        <w:rPr>
          <w:noProof/>
        </w:rPr>
        <mc:AlternateContent>
          <mc:Choice Requires="wps">
            <w:drawing>
              <wp:anchor distT="0" distB="25400" distL="111125" distR="133985" simplePos="0" relativeHeight="251665920" behindDoc="0" locked="0" layoutInCell="0" allowOverlap="1" wp14:anchorId="3F0807AF" wp14:editId="321BA708">
                <wp:simplePos x="0" y="0"/>
                <wp:positionH relativeFrom="column">
                  <wp:posOffset>0</wp:posOffset>
                </wp:positionH>
                <wp:positionV relativeFrom="paragraph">
                  <wp:posOffset>46990</wp:posOffset>
                </wp:positionV>
                <wp:extent cx="6120130" cy="575945"/>
                <wp:effectExtent l="3175" t="3175" r="3175" b="3175"/>
                <wp:wrapTopAndBottom/>
                <wp:docPr id="22" name="Casella di testo 14"/>
                <wp:cNvGraphicFramePr/>
                <a:graphic xmlns:a="http://schemas.openxmlformats.org/drawingml/2006/main">
                  <a:graphicData uri="http://schemas.microsoft.com/office/word/2010/wordprocessingShape">
                    <wps:wsp>
                      <wps:cNvSpPr/>
                      <wps:spPr>
                        <a:xfrm>
                          <a:off x="0" y="0"/>
                          <a:ext cx="6120000" cy="576000"/>
                        </a:xfrm>
                        <a:prstGeom prst="rect">
                          <a:avLst/>
                        </a:prstGeom>
                        <a:solidFill>
                          <a:schemeClr val="accent5">
                            <a:lumMod val="20000"/>
                            <a:lumOff val="80000"/>
                          </a:schemeClr>
                        </a:solidFill>
                        <a:ln w="6350">
                          <a:solidFill>
                            <a:srgbClr val="000000"/>
                          </a:solidFill>
                          <a:round/>
                        </a:ln>
                      </wps:spPr>
                      <wps:style>
                        <a:lnRef idx="0">
                          <a:scrgbClr r="0" g="0" b="0"/>
                        </a:lnRef>
                        <a:fillRef idx="0">
                          <a:scrgbClr r="0" g="0" b="0"/>
                        </a:fillRef>
                        <a:effectRef idx="0">
                          <a:scrgbClr r="0" g="0" b="0"/>
                        </a:effectRef>
                        <a:fontRef idx="minor"/>
                      </wps:style>
                      <wps:txbx>
                        <w:txbxContent>
                          <w:p w:rsidR="00F6758F" w:rsidRDefault="00F6758F">
                            <w:pPr>
                              <w:pStyle w:val="Contenutocornice"/>
                              <w:rPr>
                                <w:color w:val="000000"/>
                              </w:rPr>
                            </w:pPr>
                            <w:r>
                              <w:rPr>
                                <w:color w:val="000000"/>
                              </w:rPr>
                              <w:t>Note del RPCT:</w:t>
                            </w:r>
                          </w:p>
                          <w:p w:rsidR="00F6758F" w:rsidRDefault="00F6758F">
                            <w:pPr>
                              <w:pStyle w:val="Contenutocornice"/>
                              <w:rPr>
                                <w:color w:val="000000"/>
                              </w:rPr>
                            </w:pPr>
                            <w:r>
                              <w:rPr>
                                <w:color w:val="000000"/>
                              </w:rPr>
                              <w:t>Nessuna</w:t>
                            </w:r>
                          </w:p>
                        </w:txbxContent>
                      </wps:txbx>
                      <wps:bodyPr anchor="t">
                        <a:prstTxWarp prst="textNoShape">
                          <a:avLst/>
                        </a:prstTxWarp>
                        <a:noAutofit/>
                      </wps:bodyPr>
                    </wps:wsp>
                  </a:graphicData>
                </a:graphic>
              </wp:anchor>
            </w:drawing>
          </mc:Choice>
          <mc:Fallback>
            <w:pict>
              <v:rect w14:anchorId="3F0807AF" id="Casella di testo 14" o:spid="_x0000_s1047" style="position:absolute;margin-left:0;margin-top:3.7pt;width:481.9pt;height:45.35pt;z-index:251665920;visibility:visible;mso-wrap-style:square;mso-wrap-distance-left:8.75pt;mso-wrap-distance-top:0;mso-wrap-distance-right:10.55pt;mso-wrap-distance-bottom: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" o:allowincell="f" fillcolor="#deeaf6 [664]" strokeweight=".5pt">
                <v:stroke joinstyle="round"/>
                <v:textbox>
                  <w:txbxContent>
                    <w:p w:rsidR="00F6758F" w:rsidRDefault="00F6758F">
                      <w:pPr>
                        <w:pStyle w:val="Contenutocornice"/>
                        <w:rPr>
                          <w:color w:val="000000"/>
                        </w:rPr>
                      </w:pPr>
                      <w:r>
                        <w:rPr>
                          <w:color w:val="000000"/>
                        </w:rPr>
                        <w:t>Note del RPCT:</w:t>
                      </w:r>
                    </w:p>
                    <w:p w:rsidR="00F6758F" w:rsidRDefault="00F6758F">
                      <w:pPr>
                        <w:pStyle w:val="Contenutocornice"/>
                        <w:rPr>
                          <w:color w:val="000000"/>
                        </w:rPr>
                      </w:pPr>
                      <w:r>
                        <w:rPr>
                          <w:color w:val="000000"/>
                        </w:rPr>
                        <w:t>Nessuna</w:t>
                      </w:r>
                    </w:p>
                  </w:txbxContent>
                </v:textbox>
                <w10:wrap type="topAndBottom"/>
              </v:rect>
            </w:pict>
          </mc:Fallback>
        </mc:AlternateContent>
      </w:r>
    </w:p>
    <w:p w:rsidR="006440AE" w:rsidRDefault="00F6758F">
      <w:pPr>
        <w:pStyle w:val="Titolo2"/>
      </w:pPr>
      <w:bookmarkStart w:id="32" w:name="_Toc189121515"/>
      <w:r>
        <w:t>Misure specifiche di formazione</w:t>
      </w:r>
      <w:bookmarkEnd w:id="32"/>
    </w:p>
    <w:p w:rsidR="006440AE" w:rsidRDefault="006440AE"/>
    <w:p w:rsidR="006440AE" w:rsidRDefault="00F6758F">
      <w:pPr>
        <w:jc w:val="both"/>
      </w:pPr>
      <w:r>
        <w:t>Non sono state programmate misure specifiche di formazione.</w:t>
      </w:r>
    </w:p>
    <w:p w:rsidR="006440AE" w:rsidRDefault="006440AE"/>
    <w:p w:rsidR="006440AE" w:rsidRDefault="00F6758F">
      <w:r>
        <w:rPr>
          <w:noProof/>
        </w:rPr>
        <mc:AlternateContent>
          <mc:Choice Requires="wps">
            <w:drawing>
              <wp:anchor distT="635" distB="22225" distL="111125" distR="133985" simplePos="0" relativeHeight="251666944" behindDoc="0" locked="0" layoutInCell="0" allowOverlap="1" wp14:anchorId="69E3AB4E" wp14:editId="5E2FC186">
                <wp:simplePos x="0" y="0"/>
                <wp:positionH relativeFrom="margin">
                  <wp:posOffset>0</wp:posOffset>
                </wp:positionH>
                <wp:positionV relativeFrom="paragraph">
                  <wp:posOffset>6985</wp:posOffset>
                </wp:positionV>
                <wp:extent cx="6120130" cy="539750"/>
                <wp:effectExtent l="3175" t="3175" r="3175" b="3175"/>
                <wp:wrapTopAndBottom/>
                <wp:docPr id="23" name="Casella di testo 16"/>
                <wp:cNvGraphicFramePr/>
                <a:graphic xmlns:a="http://schemas.openxmlformats.org/drawingml/2006/main">
                  <a:graphicData uri="http://schemas.microsoft.com/office/word/2010/wordprocessingShape">
                    <wps:wsp>
                      <wps:cNvSpPr/>
                      <wps:spPr>
                        <a:xfrm>
                          <a:off x="0" y="0"/>
                          <a:ext cx="6120000" cy="539640"/>
                        </a:xfrm>
                        <a:prstGeom prst="rect">
                          <a:avLst/>
                        </a:prstGeom>
                        <a:solidFill>
                          <a:schemeClr val="accent5">
                            <a:lumMod val="20000"/>
                            <a:lumOff val="80000"/>
                          </a:schemeClr>
                        </a:solidFill>
                        <a:ln w="6350">
                          <a:solidFill>
                            <a:srgbClr val="000000"/>
                          </a:solidFill>
                          <a:round/>
                        </a:ln>
                      </wps:spPr>
                      <wps:style>
                        <a:lnRef idx="0">
                          <a:scrgbClr r="0" g="0" b="0"/>
                        </a:lnRef>
                        <a:fillRef idx="0">
                          <a:scrgbClr r="0" g="0" b="0"/>
                        </a:fillRef>
                        <a:effectRef idx="0">
                          <a:scrgbClr r="0" g="0" b="0"/>
                        </a:effectRef>
                        <a:fontRef idx="minor"/>
                      </wps:style>
                      <wps:txbx>
                        <w:txbxContent>
                          <w:p w:rsidR="00F6758F" w:rsidRDefault="00F6758F">
                            <w:pPr>
                              <w:pStyle w:val="Contenutocornice"/>
                              <w:rPr>
                                <w:color w:val="000000"/>
                              </w:rPr>
                            </w:pPr>
                            <w:r>
                              <w:rPr>
                                <w:color w:val="000000"/>
                              </w:rPr>
                              <w:t>Note del RPCT:</w:t>
                            </w:r>
                          </w:p>
                          <w:p w:rsidR="00F6758F" w:rsidRDefault="00F6758F">
                            <w:pPr>
                              <w:pStyle w:val="Contenutocornice"/>
                              <w:rPr>
                                <w:color w:val="000000"/>
                              </w:rPr>
                            </w:pPr>
                            <w:r>
                              <w:rPr>
                                <w:color w:val="000000"/>
                              </w:rPr>
                              <w:t>Nessuna</w:t>
                            </w:r>
                          </w:p>
                        </w:txbxContent>
                      </wps:txbx>
                      <wps:bodyPr anchor="t">
                        <a:prstTxWarp prst="textNoShape">
                          <a:avLst/>
                        </a:prstTxWarp>
                        <a:noAutofit/>
                      </wps:bodyPr>
                    </wps:wsp>
                  </a:graphicData>
                </a:graphic>
              </wp:anchor>
            </w:drawing>
          </mc:Choice>
          <mc:Fallback>
            <w:pict>
              <v:rect w14:anchorId="69E3AB4E" id="Casella di testo 16" o:spid="_x0000_s1048" style="position:absolute;margin-left:0;margin-top:.55pt;width:481.9pt;height:42.5pt;z-index:251666944;visibility:visible;mso-wrap-style:square;mso-wrap-distance-left:8.75pt;mso-wrap-distance-top:.05pt;mso-wrap-distance-right:10.55pt;mso-wrap-distance-bottom:1.7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" o:allowincell="f" fillcolor="#deeaf6 [664]" strokeweight=".5pt">
                <v:stroke joinstyle="round"/>
                <v:textbox>
                  <w:txbxContent>
                    <w:p w:rsidR="00F6758F" w:rsidRDefault="00F6758F">
                      <w:pPr>
                        <w:pStyle w:val="Contenutocornice"/>
                        <w:rPr>
                          <w:color w:val="000000"/>
                        </w:rPr>
                      </w:pPr>
                      <w:r>
                        <w:rPr>
                          <w:color w:val="000000"/>
                        </w:rPr>
                        <w:t>Note del RPCT:</w:t>
                      </w:r>
                    </w:p>
                    <w:p w:rsidR="00F6758F" w:rsidRDefault="00F6758F">
                      <w:pPr>
                        <w:pStyle w:val="Contenutocornice"/>
                        <w:rPr>
                          <w:color w:val="000000"/>
                        </w:rPr>
                      </w:pPr>
                      <w:r>
                        <w:rPr>
                          <w:color w:val="000000"/>
                        </w:rPr>
                        <w:t>Nessuna</w:t>
                      </w:r>
                    </w:p>
                  </w:txbxContent>
                </v:textbox>
                <w10:wrap type="topAndBottom" anchorx="margin"/>
              </v:rect>
            </w:pict>
          </mc:Fallback>
        </mc:AlternateContent>
      </w:r>
    </w:p>
    <w:p w:rsidR="006440AE" w:rsidRDefault="00F6758F">
      <w:pPr>
        <w:pStyle w:val="Titolo2"/>
      </w:pPr>
      <w:bookmarkStart w:id="33" w:name="_Toc189121516"/>
      <w:r>
        <w:t>Misure specifiche di rotazione</w:t>
      </w:r>
      <w:bookmarkEnd w:id="33"/>
    </w:p>
    <w:p w:rsidR="006440AE" w:rsidRDefault="006440AE">
      <w:pPr>
        <w:jc w:val="both"/>
      </w:pPr>
    </w:p>
    <w:p w:rsidR="006440AE" w:rsidRDefault="00F6758F">
      <w:pPr>
        <w:jc w:val="both"/>
      </w:pPr>
      <w:r>
        <w:t>Con riferimento all’attuazione delle misure specifiche di rotazione, nell’anno di riferimento del PTPCT o della sezione Anticorruzione e Trasparenza del PIAO o della sezione Anticorruzione e Trasparenza del PIAO si evidenzia quanto segue:</w:t>
      </w:r>
    </w:p>
    <w:p w:rsidR="006440AE" w:rsidRDefault="00F6758F">
      <w:pPr>
        <w:numPr>
          <w:ilvl w:val="0"/>
          <w:numId w:val="33"/>
        </w:numPr>
        <w:jc w:val="both"/>
      </w:pPr>
      <w:r>
        <w:t>Numero di misure programmate: 8;</w:t>
      </w:r>
    </w:p>
    <w:p w:rsidR="006440AE" w:rsidRDefault="00F6758F">
      <w:pPr>
        <w:numPr>
          <w:ilvl w:val="0"/>
          <w:numId w:val="33"/>
        </w:numPr>
        <w:jc w:val="both"/>
      </w:pPr>
      <w:r>
        <w:t>Numero di misure attuate nei tempi previsti: 0;</w:t>
      </w:r>
    </w:p>
    <w:p w:rsidR="006440AE" w:rsidRDefault="00F6758F">
      <w:pPr>
        <w:numPr>
          <w:ilvl w:val="0"/>
          <w:numId w:val="33"/>
        </w:numPr>
        <w:jc w:val="both"/>
      </w:pPr>
      <w:r>
        <w:t>Numero di misure non attuate: 8.</w:t>
      </w:r>
    </w:p>
    <w:p w:rsidR="006440AE" w:rsidRDefault="006440AE">
      <w:pPr>
        <w:jc w:val="both"/>
      </w:pPr>
    </w:p>
    <w:p w:rsidR="006440AE" w:rsidRDefault="00F6758F">
      <w:pPr>
        <w:jc w:val="both"/>
      </w:pPr>
      <w:r>
        <w:t>In particolare, per quanto riguarda le misure specifiche di rotazione non attuate si evidenzia che:</w:t>
      </w:r>
    </w:p>
    <w:p w:rsidR="006440AE" w:rsidRDefault="00F6758F">
      <w:pPr>
        <w:numPr>
          <w:ilvl w:val="0"/>
          <w:numId w:val="34"/>
        </w:numPr>
        <w:jc w:val="both"/>
      </w:pPr>
      <w:r>
        <w:t>per 8 misure non sono state ancora avviate le attività per l’adozione e non saranno avviate nei tempi previsti dal PTPCT o dalla sezione Anticorruzione e Trasparenza del PIAO a causa di:</w:t>
      </w:r>
    </w:p>
    <w:p w:rsidR="006440AE" w:rsidRDefault="00F6758F">
      <w:pPr>
        <w:numPr>
          <w:ilvl w:val="1"/>
          <w:numId w:val="34"/>
        </w:numPr>
        <w:jc w:val="both"/>
      </w:pPr>
      <w:r>
        <w:t>A fronte dell'entrata in vigore del D.lgs. 36/2023, è opportuno procedere ad una modifica di tutta la regolamentazione interna al fine di recepire le novità normative, inoltre, la Regione Toscana ha approvato l'elenco regionale degli operatori economici con le sue regole di utilizzo che risolvono la regolamentazione della rotazione.</w:t>
      </w:r>
    </w:p>
    <w:p w:rsidR="006440AE" w:rsidRDefault="006440AE">
      <w:pPr>
        <w:jc w:val="both"/>
      </w:pPr>
    </w:p>
    <w:p w:rsidR="006440AE" w:rsidRDefault="00F6758F">
      <w:pPr>
        <w:jc w:val="both"/>
      </w:pPr>
      <w:r>
        <w:t>Di seguito si fornisce il dettaglio del monitoraggio per ogni singola misura di rotazione programmata.</w:t>
      </w:r>
    </w:p>
    <w:p w:rsidR="006440AE" w:rsidRDefault="006440AE">
      <w:pPr>
        <w:jc w:val="both"/>
      </w:pPr>
    </w:p>
    <w:p w:rsidR="006440AE" w:rsidRDefault="00F6758F">
      <w:pPr>
        <w:jc w:val="both"/>
      </w:pPr>
      <w:r>
        <w:t>Area di rischio: D.3 Contratti pubblici - Selezione del contraente.</w:t>
      </w:r>
    </w:p>
    <w:p w:rsidR="006440AE" w:rsidRDefault="00F6758F">
      <w:pPr>
        <w:jc w:val="both"/>
      </w:pPr>
      <w:r>
        <w:t>Denominazione misura: ARETEC001 - Aggiornamento della delibera 1064/2017 specificando i criteri per assicurare la rotazione dei RUP compatibilmente con le risorse e le competenze disponibili.</w:t>
      </w:r>
    </w:p>
    <w:p w:rsidR="006440AE" w:rsidRDefault="00F6758F">
      <w:pPr>
        <w:jc w:val="both"/>
      </w:pPr>
      <w:r>
        <w:t>La misura non è stata attuata nei tempi previsti dal PTPCT o dalla sezione Anticorruzione e Trasparenza del PIAO, in particolare: non sono state ancora avviate le attività per l’adozione della misura e non saranno avviate nei tempi previsti dal PTPCT o dalla sezione Anticorruzione e Trasparenza del PIAO a causa di:</w:t>
      </w:r>
    </w:p>
    <w:p w:rsidR="006440AE" w:rsidRDefault="00F6758F">
      <w:pPr>
        <w:numPr>
          <w:ilvl w:val="0"/>
          <w:numId w:val="17"/>
        </w:numPr>
        <w:jc w:val="both"/>
      </w:pPr>
      <w:r>
        <w:t>A fronte dell'entrata in vigore del D.lgs. 36/2023 che ha apportato modifiche sostanziali a tutta la disciplina degli appalti, è opportuno procedere ad una più generale modifica di tutta la regolamentazione interna al fine di recepire tutte le novità normative. Vista la recente nomina del Direttore del Dipartimento è necessario un suo coinvolgimento nella materia e uno slittamento della scadenza.</w:t>
      </w:r>
    </w:p>
    <w:p w:rsidR="006440AE" w:rsidRDefault="006440AE">
      <w:pPr>
        <w:jc w:val="both"/>
      </w:pPr>
    </w:p>
    <w:p w:rsidR="006440AE" w:rsidRDefault="00F6758F">
      <w:pPr>
        <w:jc w:val="both"/>
      </w:pPr>
      <w:r>
        <w:t>Area di rischio: D.3 Contratti pubblici - Selezione del contraente.</w:t>
      </w:r>
    </w:p>
    <w:p w:rsidR="006440AE" w:rsidRDefault="00F6758F">
      <w:pPr>
        <w:jc w:val="both"/>
      </w:pPr>
      <w:r>
        <w:t>Denominazione misura: ARETEC001 - Aggiornamento della delibera 377 del 24/03/2022 specificando i criteri per assicurare la rotazione dei fornitori.</w:t>
      </w:r>
    </w:p>
    <w:p w:rsidR="006440AE" w:rsidRDefault="00F6758F">
      <w:pPr>
        <w:jc w:val="both"/>
      </w:pPr>
      <w:r>
        <w:t>La misura non è stata attuata nei tempi previsti dal PTPCT o dalla sezione Anticorruzione e Trasparenza del PIAO, in particolare: non sono state ancora avviate le attività per l’adozione della misura e non saranno avviate nei tempi previsti dal PTPCT o dalla sezione Anticorruzione e Trasparenza del PIAO a causa di:</w:t>
      </w:r>
    </w:p>
    <w:p w:rsidR="006440AE" w:rsidRDefault="00F6758F">
      <w:pPr>
        <w:numPr>
          <w:ilvl w:val="0"/>
          <w:numId w:val="35"/>
        </w:numPr>
        <w:jc w:val="both"/>
      </w:pPr>
      <w:r>
        <w:t>A fronte dell'entrata in vigore del D.lgs. 36/2023 che ha apportato modifiche sostanziali a tutta la disciplina degli appalti, è opportuno procedere ad una più generale modifica di tutta la regolamentazione interna al fine di recepire tutte le novità normative. Vista la recente nomina del Direttore del Dipartimento è necessario un suo coinvolgimento nella materia e uno slittamento della scadenza.</w:t>
      </w:r>
    </w:p>
    <w:p w:rsidR="006440AE" w:rsidRDefault="006440AE">
      <w:pPr>
        <w:jc w:val="both"/>
      </w:pPr>
    </w:p>
    <w:p w:rsidR="006440AE" w:rsidRDefault="00F6758F">
      <w:pPr>
        <w:jc w:val="both"/>
      </w:pPr>
      <w:r>
        <w:t>Area di rischio: D.3 Contratti pubblici - Selezione del contraente.</w:t>
      </w:r>
    </w:p>
    <w:p w:rsidR="006440AE" w:rsidRDefault="00F6758F">
      <w:pPr>
        <w:jc w:val="both"/>
      </w:pPr>
      <w:r>
        <w:t>Denominazione misura: ARETEC002 - Aggiornamento della delibera 1064/2017 specificando i criteri per assicurare la rotazione dei RUP compatibilmente con le risorse e le competenze disponibili.</w:t>
      </w:r>
    </w:p>
    <w:p w:rsidR="006440AE" w:rsidRDefault="00F6758F">
      <w:pPr>
        <w:jc w:val="both"/>
      </w:pPr>
      <w:r>
        <w:t>La misura non è stata attuata nei tempi previsti dal PTPCT o dalla sezione Anticorruzione e Trasparenza del PIAO, in particolare: non sono state ancora avviate le attività per l’adozione della misura e non saranno avviate nei tempi previsti dal PTPCT o dalla sezione Anticorruzione e Trasparenza del PIAO a causa di:</w:t>
      </w:r>
    </w:p>
    <w:p w:rsidR="006440AE" w:rsidRDefault="00F6758F">
      <w:pPr>
        <w:numPr>
          <w:ilvl w:val="0"/>
          <w:numId w:val="36"/>
        </w:numPr>
        <w:jc w:val="both"/>
      </w:pPr>
      <w:r>
        <w:t>A fronte dell'entrata in vigore del D.lgs. 36/2023 che ha apportato modifiche sostanziali a tutta la disciplina degli appalti, è opportuno procedere ad una più generale modifica di tutta la regolamentazione interna al fine di recepire tutte le novità normative. Vista la recente nomina del Direttore del Dipartimento è necessario un suo coinvolgimento nella materia e uno slittamento della scadenza.</w:t>
      </w:r>
    </w:p>
    <w:p w:rsidR="006440AE" w:rsidRDefault="006440AE">
      <w:pPr>
        <w:jc w:val="both"/>
      </w:pPr>
    </w:p>
    <w:p w:rsidR="006440AE" w:rsidRDefault="00F6758F">
      <w:pPr>
        <w:jc w:val="both"/>
      </w:pPr>
      <w:r>
        <w:t>Area di rischio: D.3 Contratti pubblici - Selezione del contraente.</w:t>
      </w:r>
    </w:p>
    <w:p w:rsidR="006440AE" w:rsidRDefault="00F6758F">
      <w:pPr>
        <w:jc w:val="both"/>
      </w:pPr>
      <w:r>
        <w:t>Denominazione misura: ARETEC003 - Aggiornamento della delibera 377 del 24/03/2022 specificando i criteri per assicurare la rotazione dei fornitori.</w:t>
      </w:r>
    </w:p>
    <w:p w:rsidR="006440AE" w:rsidRDefault="00F6758F">
      <w:pPr>
        <w:jc w:val="both"/>
      </w:pPr>
      <w:r>
        <w:t>La misura non è stata attuata nei tempi previsti dal PTPCT o dalla sezione Anticorruzione e Trasparenza del PIAO, in particolare: non sono state ancora avviate le attività per l’adozione della misura e non saranno avviate nei tempi previsti dal PTPCT o dalla sezione Anticorruzione e Trasparenza del PIAO a causa di:</w:t>
      </w:r>
    </w:p>
    <w:p w:rsidR="006440AE" w:rsidRDefault="00F6758F">
      <w:pPr>
        <w:numPr>
          <w:ilvl w:val="0"/>
          <w:numId w:val="37"/>
        </w:numPr>
        <w:jc w:val="both"/>
      </w:pPr>
      <w:r>
        <w:t>A fronte dell'entrata in vigore del D.lgs. 36/2023 che ha apportato modifiche sostanziali a tutta la disciplina degli appalti, è opportuno procedere ad una più generale modifica di tutta la regolamentazione interna al fine di recepire tutte le novità normative. Vista la recente nomina del Direttore del Dipartimento è necessario un suo coinvolgimento nella materia e uno slittamento della scadenza.</w:t>
      </w:r>
    </w:p>
    <w:p w:rsidR="006440AE" w:rsidRDefault="006440AE">
      <w:pPr>
        <w:jc w:val="both"/>
      </w:pPr>
    </w:p>
    <w:p w:rsidR="006440AE" w:rsidRDefault="00F6758F">
      <w:pPr>
        <w:jc w:val="both"/>
      </w:pPr>
      <w:r>
        <w:t>Area di rischio: D.3 Contratti pubblici - Selezione del contraente.</w:t>
      </w:r>
    </w:p>
    <w:p w:rsidR="006440AE" w:rsidRDefault="00F6758F">
      <w:pPr>
        <w:jc w:val="both"/>
      </w:pPr>
      <w:r>
        <w:t>Denominazione misura: ARETEC004 - Aggiornamento della delibera 377 del 24/03/2022 specificando i criteri per assicurare la rotazione dei fornitori.</w:t>
      </w:r>
    </w:p>
    <w:p w:rsidR="006440AE" w:rsidRDefault="00F6758F">
      <w:pPr>
        <w:jc w:val="both"/>
      </w:pPr>
      <w:r>
        <w:t>La misura non è stata attuata nei tempi previsti dal PTPCT o dalla sezione Anticorruzione e Trasparenza del PIAO, in particolare: non sono state ancora avviate le attività per l’adozione della misura e non saranno avviate nei tempi previsti dal PTPCT o dalla sezione Anticorruzione e Trasparenza del PIAO a causa di:</w:t>
      </w:r>
    </w:p>
    <w:p w:rsidR="006440AE" w:rsidRDefault="00F6758F">
      <w:pPr>
        <w:numPr>
          <w:ilvl w:val="0"/>
          <w:numId w:val="38"/>
        </w:numPr>
        <w:jc w:val="both"/>
      </w:pPr>
      <w:r>
        <w:t>La Regione Toscana ha approvato l'elenco regionale degli operatori economici con le sue regole di utilizzo che risolvono la regolamentazione della rotazione.</w:t>
      </w:r>
    </w:p>
    <w:p w:rsidR="006440AE" w:rsidRDefault="00F6758F">
      <w:pPr>
        <w:jc w:val="both"/>
      </w:pPr>
      <w:r>
        <w:rPr>
          <w:bCs/>
          <w:noProof/>
        </w:rPr>
        <mc:AlternateContent>
          <mc:Choice Requires="wps">
            <w:drawing>
              <wp:anchor distT="635" distB="22225" distL="111125" distR="133985" simplePos="0" relativeHeight="251667968" behindDoc="0" locked="0" layoutInCell="0" allowOverlap="1" wp14:anchorId="69202AFD" wp14:editId="121E08AD">
                <wp:simplePos x="0" y="0"/>
                <wp:positionH relativeFrom="column">
                  <wp:posOffset>-3810</wp:posOffset>
                </wp:positionH>
                <wp:positionV relativeFrom="paragraph">
                  <wp:posOffset>244475</wp:posOffset>
                </wp:positionV>
                <wp:extent cx="6119495" cy="853440"/>
                <wp:effectExtent l="0" t="0" r="0" b="3810"/>
                <wp:wrapTopAndBottom/>
                <wp:docPr id="24" name="Casella di testo 17"/>
                <wp:cNvGraphicFramePr/>
                <a:graphic xmlns:a="http://schemas.openxmlformats.org/drawingml/2006/main">
                  <a:graphicData uri="http://schemas.microsoft.com/office/word/2010/wordprocessingShape">
                    <wps:wsp>
                      <wps:cNvSpPr/>
                      <wps:spPr>
                        <a:xfrm>
                          <a:off x="0" y="0"/>
                          <a:ext cx="6119495" cy="853440"/>
                        </a:xfrm>
                        <a:prstGeom prst="rect">
                          <a:avLst/>
                        </a:prstGeom>
                        <a:solidFill>
                          <a:schemeClr val="accent5">
                            <a:lumMod val="20000"/>
                            <a:lumOff val="80000"/>
                          </a:schemeClr>
                        </a:solidFill>
                        <a:ln w="6350">
                          <a:solidFill>
                            <a:srgbClr val="000000"/>
                          </a:solidFill>
                          <a:round/>
                        </a:ln>
                      </wps:spPr>
                      <wps:style>
                        <a:lnRef idx="0">
                          <a:scrgbClr r="0" g="0" b="0"/>
                        </a:lnRef>
                        <a:fillRef idx="0">
                          <a:scrgbClr r="0" g="0" b="0"/>
                        </a:fillRef>
                        <a:effectRef idx="0">
                          <a:scrgbClr r="0" g="0" b="0"/>
                        </a:effectRef>
                        <a:fontRef idx="minor"/>
                      </wps:style>
                      <wps:txbx>
                        <w:txbxContent>
                          <w:p w:rsidR="00F6758F" w:rsidRDefault="00F6758F">
                            <w:pPr>
                              <w:pStyle w:val="Contenutocornice"/>
                              <w:rPr>
                                <w:color w:val="000000"/>
                              </w:rPr>
                            </w:pPr>
                            <w:r>
                              <w:rPr>
                                <w:color w:val="000000"/>
                              </w:rPr>
                              <w:t>Note del RPCT:</w:t>
                            </w:r>
                          </w:p>
                          <w:p w:rsidR="004B64C4" w:rsidRDefault="004B64C4" w:rsidP="004B64C4">
                            <w:pPr>
                              <w:pStyle w:val="Contenutocornice"/>
                              <w:jc w:val="both"/>
                              <w:rPr>
                                <w:color w:val="000000"/>
                              </w:rPr>
                            </w:pPr>
                            <w:r w:rsidRPr="00F6758F">
                              <w:rPr>
                                <w:color w:val="000000"/>
                              </w:rPr>
                              <w:t xml:space="preserve">Per una limitazione della Piattaforma di acquisizione dei Piani Triennali per la Prevenzione della Corruzione e della Trasparenza di ANAC, in questa </w:t>
                            </w:r>
                            <w:r>
                              <w:rPr>
                                <w:color w:val="000000"/>
                              </w:rPr>
                              <w:t xml:space="preserve">sezione </w:t>
                            </w:r>
                            <w:r w:rsidRPr="00F6758F">
                              <w:rPr>
                                <w:color w:val="000000"/>
                              </w:rPr>
                              <w:t xml:space="preserve">è stato possibile rendicontare il monitoraggio </w:t>
                            </w:r>
                            <w:r>
                              <w:rPr>
                                <w:color w:val="000000"/>
                              </w:rPr>
                              <w:t xml:space="preserve">solo di alcune </w:t>
                            </w:r>
                            <w:r w:rsidRPr="00F6758F">
                              <w:rPr>
                                <w:color w:val="000000"/>
                              </w:rPr>
                              <w:t>misure programmate.</w:t>
                            </w:r>
                          </w:p>
                          <w:p w:rsidR="00F6758F" w:rsidRDefault="00F6758F" w:rsidP="004B64C4">
                            <w:pPr>
                              <w:pStyle w:val="Contenutocornice"/>
                              <w:rPr>
                                <w:color w:val="000000"/>
                              </w:rPr>
                            </w:pPr>
                          </w:p>
                        </w:txbxContent>
                      </wps:txbx>
                      <wps:bodyPr wrap="square" anchor="t">
                        <a:prstTxWarp prst="textNoShape">
                          <a:avLst/>
                        </a:prstTxWarp>
                        <a:noAutofit/>
                      </wps:bodyPr>
                    </wps:wsp>
                  </a:graphicData>
                </a:graphic>
                <wp14:sizeRelV relativeFrom="margin">
                  <wp14:pctHeight>0</wp14:pctHeight>
                </wp14:sizeRelV>
              </wp:anchor>
            </w:drawing>
          </mc:Choice>
          <mc:Fallback>
            <w:pict>
              <v:rect w14:anchorId="69202AFD" id="Casella di testo 17" o:spid="_x0000_s1049" style="position:absolute;left:0;text-align:left;margin-left:-.3pt;margin-top:19.25pt;width:481.85pt;height:67.2pt;z-index:251667968;visibility:visible;mso-wrap-style:square;mso-height-percent:0;mso-wrap-distance-left:8.75pt;mso-wrap-distance-top:.05pt;mso-wrap-distance-right:10.55pt;mso-wrap-distance-bottom:1.7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" o:allowincell="f" fillcolor="#deeaf6 [664]" strokeweight=".5pt">
                <v:stroke joinstyle="round"/>
                <v:textbox>
                  <w:txbxContent>
                    <w:p w:rsidR="00F6758F" w:rsidRDefault="00F6758F">
                      <w:pPr>
                        <w:pStyle w:val="Contenutocornice"/>
                        <w:rPr>
                          <w:color w:val="000000"/>
                        </w:rPr>
                      </w:pPr>
                      <w:r>
                        <w:rPr>
                          <w:color w:val="000000"/>
                        </w:rPr>
                        <w:t>Note del RPCT:</w:t>
                      </w:r>
                    </w:p>
                    <w:p w:rsidR="004B64C4" w:rsidRDefault="004B64C4" w:rsidP="004B64C4">
                      <w:pPr>
                        <w:pStyle w:val="Contenutocornice"/>
                        <w:jc w:val="both"/>
                        <w:rPr>
                          <w:color w:val="000000"/>
                        </w:rPr>
                      </w:pPr>
                      <w:r w:rsidRPr="00F6758F">
                        <w:rPr>
                          <w:color w:val="000000"/>
                        </w:rPr>
                        <w:t xml:space="preserve">Per una limitazione della Piattaforma di acquisizione dei Piani Triennali per la Prevenzione della Corruzione e della Trasparenza di ANAC, in questa </w:t>
                      </w:r>
                      <w:r>
                        <w:rPr>
                          <w:color w:val="000000"/>
                        </w:rPr>
                        <w:t xml:space="preserve">sezione </w:t>
                      </w:r>
                      <w:r w:rsidRPr="00F6758F">
                        <w:rPr>
                          <w:color w:val="000000"/>
                        </w:rPr>
                        <w:t xml:space="preserve">è stato possibile rendicontare il monitoraggio </w:t>
                      </w:r>
                      <w:r>
                        <w:rPr>
                          <w:color w:val="000000"/>
                        </w:rPr>
                        <w:t xml:space="preserve">solo di alcune </w:t>
                      </w:r>
                      <w:r w:rsidRPr="00F6758F">
                        <w:rPr>
                          <w:color w:val="000000"/>
                        </w:rPr>
                        <w:t>misure programmate.</w:t>
                      </w:r>
                    </w:p>
                    <w:p w:rsidR="00F6758F" w:rsidRDefault="00F6758F" w:rsidP="004B64C4">
                      <w:pPr>
                        <w:pStyle w:val="Contenutocornice"/>
                        <w:rPr>
                          <w:color w:val="000000"/>
                        </w:rPr>
                      </w:pPr>
                    </w:p>
                  </w:txbxContent>
                </v:textbox>
                <w10:wrap type="topAndBottom"/>
              </v:rect>
            </w:pict>
          </mc:Fallback>
        </mc:AlternateContent>
      </w:r>
    </w:p>
    <w:p w:rsidR="006440AE" w:rsidRDefault="006440AE">
      <w:pPr>
        <w:rPr>
          <w:bCs/>
        </w:rPr>
      </w:pPr>
    </w:p>
    <w:p w:rsidR="006440AE" w:rsidRDefault="00F6758F">
      <w:pPr>
        <w:pStyle w:val="Titolo2"/>
      </w:pPr>
      <w:bookmarkStart w:id="34" w:name="_Toc189121517"/>
      <w:r>
        <w:t>Misure specifiche di disciplina del conflitto di interessi</w:t>
      </w:r>
      <w:bookmarkEnd w:id="34"/>
    </w:p>
    <w:p w:rsidR="006440AE" w:rsidRDefault="006440AE">
      <w:pPr>
        <w:jc w:val="both"/>
      </w:pPr>
    </w:p>
    <w:p w:rsidR="006440AE" w:rsidRDefault="00F6758F">
      <w:pPr>
        <w:jc w:val="both"/>
      </w:pPr>
      <w:r>
        <w:t>Con riferimento all’attuazione delle misure specifiche di disciplina del conflitto di interessi, nell’anno di riferimento del PTPCT o della sezione Anticorruzione e Trasparenza del PIAO si evidenzia quanto segue:</w:t>
      </w:r>
    </w:p>
    <w:p w:rsidR="006440AE" w:rsidRDefault="00F6758F">
      <w:pPr>
        <w:numPr>
          <w:ilvl w:val="0"/>
          <w:numId w:val="39"/>
        </w:numPr>
        <w:jc w:val="both"/>
      </w:pPr>
      <w:r>
        <w:t>Numero di misure programmate: 113;</w:t>
      </w:r>
    </w:p>
    <w:p w:rsidR="006440AE" w:rsidRDefault="00F6758F">
      <w:pPr>
        <w:numPr>
          <w:ilvl w:val="0"/>
          <w:numId w:val="39"/>
        </w:numPr>
        <w:jc w:val="both"/>
      </w:pPr>
      <w:r>
        <w:t>Numero di misure attuate nei tempi previsti: 105;</w:t>
      </w:r>
    </w:p>
    <w:p w:rsidR="006440AE" w:rsidRDefault="00F6758F">
      <w:pPr>
        <w:numPr>
          <w:ilvl w:val="0"/>
          <w:numId w:val="39"/>
        </w:numPr>
        <w:jc w:val="both"/>
      </w:pPr>
      <w:r>
        <w:t>Numero di misure non attuate: 8.</w:t>
      </w:r>
    </w:p>
    <w:p w:rsidR="006440AE" w:rsidRDefault="006440AE">
      <w:pPr>
        <w:jc w:val="both"/>
      </w:pPr>
    </w:p>
    <w:p w:rsidR="006440AE" w:rsidRDefault="00F6758F">
      <w:pPr>
        <w:jc w:val="both"/>
      </w:pPr>
      <w:r>
        <w:t>In particolare, per quanto riguarda le misure specifiche di disciplina del conflitto di interessi non attuate si evidenzia che:</w:t>
      </w:r>
    </w:p>
    <w:p w:rsidR="006440AE" w:rsidRDefault="00F6758F">
      <w:pPr>
        <w:numPr>
          <w:ilvl w:val="0"/>
          <w:numId w:val="40"/>
        </w:numPr>
        <w:jc w:val="both"/>
      </w:pPr>
      <w:r>
        <w:t>8 misure sono attualmente in corso di adozione.</w:t>
      </w:r>
    </w:p>
    <w:p w:rsidR="006440AE" w:rsidRDefault="006440AE">
      <w:pPr>
        <w:jc w:val="both"/>
      </w:pPr>
    </w:p>
    <w:p w:rsidR="006440AE" w:rsidRDefault="00F6758F">
      <w:pPr>
        <w:jc w:val="both"/>
      </w:pPr>
      <w:r>
        <w:t>Di seguito si fornisce il dettaglio del monitoraggio per ogni singola misura di disciplina del conflitto di interessi programmata.</w:t>
      </w:r>
    </w:p>
    <w:p w:rsidR="006440AE" w:rsidRDefault="006440AE">
      <w:pPr>
        <w:jc w:val="both"/>
      </w:pPr>
    </w:p>
    <w:p w:rsidR="006440AE" w:rsidRDefault="00F6758F">
      <w:pPr>
        <w:jc w:val="both"/>
      </w:pPr>
      <w:r>
        <w:t>Area di rischio: B. Provvedimenti ampliativi della sfera giuridica senza effetto economico diretto ed immediato (es. autorizzazioni e concessioni, etc.).</w:t>
      </w:r>
    </w:p>
    <w:p w:rsidR="006440AE" w:rsidRDefault="00F6758F">
      <w:pPr>
        <w:jc w:val="both"/>
      </w:pPr>
      <w:r>
        <w:t>Denominazione misura: APBESE002 - Rilascio da parte di tutto il personale amministrativo della SOS Servizi amministrativi per la farmaceutica, coinvolto nelle pratiche, della dichiarazione di cui all’art. 35-bis del D.lgs. 165/2001 e della dichiarazione di assenza di conflitto di interessi per ciascuna pratica.</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B. Provvedimenti ampliativi della sfera giuridica senza effetto economico diretto ed immediato (es. autorizzazioni e concessioni, etc.).</w:t>
      </w:r>
    </w:p>
    <w:p w:rsidR="006440AE" w:rsidRDefault="00F6758F">
      <w:pPr>
        <w:jc w:val="both"/>
      </w:pPr>
      <w:r>
        <w:t>Denominazione misura: APBESE002 - Acquisizione della dichiarazione di cui all’art. 35-bis del D.lgs. 165/2001 e della dichiarazione di assenza di conflitto di interessi del farmacista della SOS Farmacia Territoriale di competenza, per ciascuna pratica.</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B. Provvedimenti ampliativi della sfera giuridica senza effetto economico diretto ed immediato (es. autorizzazioni e concessioni, etc.).</w:t>
      </w:r>
    </w:p>
    <w:p w:rsidR="006440AE" w:rsidRDefault="00F6758F">
      <w:pPr>
        <w:jc w:val="both"/>
      </w:pPr>
      <w:r>
        <w:t>Denominazione misura: PREVEN007 - Invio di almeno un promemoria all’anno per ricordare a tutti i soggetti coinvolti, la necessità di segnalare eventuali insorgenze di conflitti di interessi anche potenziali rispetto all’attività assegnata.</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B. Provvedimenti ampliativi della sfera giuridica senza effetto economico diretto ed immediato (es. autorizzazioni e concessioni, etc.).</w:t>
      </w:r>
    </w:p>
    <w:p w:rsidR="006440AE" w:rsidRDefault="00F6758F">
      <w:pPr>
        <w:jc w:val="both"/>
      </w:pPr>
      <w:r>
        <w:t>Denominazione misura: PREVEN009 - Rilascio da parte del Direttore dell’Unità Funzionale e suo delegato al Direttore di Area di almeno una dichiarazione nella quale si impegnano a segnalare la presenza di conflitti di interesse anche potenziali rispetto all’attività assegnata. Le dichiarazioni di impegno devono essere rilasciate su apposito modello predisposto dal DIR con la collaborazione del RPCT.</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B. Provvedimenti ampliativi della sfera giuridica senza effetto economico diretto ed immediato (es. autorizzazioni e concessioni, etc.).</w:t>
      </w:r>
    </w:p>
    <w:p w:rsidR="006440AE" w:rsidRDefault="00F6758F">
      <w:pPr>
        <w:jc w:val="both"/>
      </w:pPr>
      <w:r>
        <w:t>Denominazione misura: PREVEN010 - Rilascio da parte dell’Incarico di Funzione Tecnici della Prevenzione PISLL al Direttore di Unità Funzionale di almeno una dichiarazione nella quale si impegna a segnalare la presenza di conflitti di interesse anche potenziali rispetto all’attività assegnata. Le dichiarazioni di impegno devono essere rilasciate su apposito modello predisposto dal DIR con la collaborazione del RPCT.</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C. Provvedimenti ampliativi della sfera giuridica con effetto economico diretto ed immediato (es. erogazione di sovvenzioni, contributi, sussidi, etc.).</w:t>
      </w:r>
    </w:p>
    <w:p w:rsidR="006440AE" w:rsidRDefault="00F6758F">
      <w:pPr>
        <w:jc w:val="both"/>
      </w:pPr>
      <w:r>
        <w:t>Denominazione misura: MEDFIS001 - Rilascio annuale da parte del medico fisiatra di una dichiarazione di assenza di conflitto di interessi rispetto alle strutture private accreditate.</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C. Provvedimenti ampliativi della sfera giuridica con effetto economico diretto ed immediato (es. erogazione di sovvenzioni, contributi, sussidi, etc.).</w:t>
      </w:r>
    </w:p>
    <w:p w:rsidR="006440AE" w:rsidRDefault="00F6758F">
      <w:pPr>
        <w:jc w:val="both"/>
      </w:pPr>
      <w:r>
        <w:t>Denominazione misura: SAOTER004 - Rilascio da parte di tutti gli operatori coinvolti della dichiarazione di cui all’art. 35-bis del D.lgs. 165/2001 e della dichiarazione di assenza di conflitto di interessi.</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C. Provvedimenti ampliativi della sfera giuridica con effetto economico diretto ed immediato (es. erogazione di sovvenzioni, contributi, sussidi, etc.).</w:t>
      </w:r>
    </w:p>
    <w:p w:rsidR="006440AE" w:rsidRDefault="00F6758F">
      <w:pPr>
        <w:jc w:val="both"/>
      </w:pPr>
      <w:r>
        <w:t>Denominazione misura: SAOTER005 - Per il contributo malattie rare e assegno di cura SLA, acquisizione, da parte della Segreteria Amministrativa / Ufficio Amministrativo zonale (per ciascun parere/verbale e con riferimento a ciascun utente), delle dichiarazioni di assenza di conflitto di interessi firmate dai membri della Commissione, le quali vengono stampate direttamente dall’applicativo in uso (Aster Sinns).</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C. Provvedimenti ampliativi della sfera giuridica con effetto economico diretto ed immediato (es. erogazione di sovvenzioni, contributi, sussidi, etc.).</w:t>
      </w:r>
    </w:p>
    <w:p w:rsidR="006440AE" w:rsidRDefault="00F6758F">
      <w:pPr>
        <w:jc w:val="both"/>
      </w:pPr>
      <w:r>
        <w:t>Denominazione misura: SAOTER006 - Acquisizione da parte dell’amministrativo dell’UVM/UVMD (per ciascun verbale/piano assistenziale e con riferimento a ciascun utente), delle dichiarazioni di assenza di conflitto di interessi firmate dai membri della Commissione, le quali vengono stampate direttamente dall’applicativo in uso (Aster Sinns).</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C. Provvedimenti ampliativi della sfera giuridica con effetto economico diretto ed immediato (es. erogazione di sovvenzioni, contributi, sussidi, etc.).</w:t>
      </w:r>
    </w:p>
    <w:p w:rsidR="006440AE" w:rsidRDefault="00F6758F">
      <w:pPr>
        <w:jc w:val="both"/>
      </w:pPr>
      <w:r>
        <w:t>Denominazione misura: SAOTER012 - Rilascio, da parte di tutti gli operatori coinvolti, della dichiarazione di cui all’art. 35-bis del D.lgs. 165/2001 e della dichiarazione di assenza di conflitto di interessi.</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D.3 Contratti pubblici - Selezione del contraente.</w:t>
      </w:r>
    </w:p>
    <w:p w:rsidR="006440AE" w:rsidRDefault="00F6758F">
      <w:pPr>
        <w:jc w:val="both"/>
      </w:pPr>
      <w:r>
        <w:t>Denominazione misura: APBESE004 - Rilascio da parte del Responsabile del procedimento per la fase di affidamento della dichiarazione di assenza di conflitto di interessi per ogni procedura di affidamento.</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D.3 Contratti pubblici - Selezione del contraente.</w:t>
      </w:r>
    </w:p>
    <w:p w:rsidR="006440AE" w:rsidRDefault="00F6758F">
      <w:pPr>
        <w:jc w:val="both"/>
      </w:pPr>
      <w:r>
        <w:t>Denominazione misura: APBESE005 - Rilascio da parte del RUP della dichiarazione di assenza di conflitto di interessi per ogni procedura di affidamento.</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D.3 Contratti pubblici - Selezione del contraente.</w:t>
      </w:r>
    </w:p>
    <w:p w:rsidR="006440AE" w:rsidRDefault="00F6758F">
      <w:pPr>
        <w:jc w:val="both"/>
      </w:pPr>
      <w:r>
        <w:t>Denominazione misura: APBESE007 - Rilascio da parte del RES della dichiarazione di assenza di conflitto di interessi per ogni procedura di affidamento.</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D.3 Contratti pubblici - Selezione del contraente.</w:t>
      </w:r>
    </w:p>
    <w:p w:rsidR="006440AE" w:rsidRDefault="00F6758F">
      <w:pPr>
        <w:jc w:val="both"/>
      </w:pPr>
      <w:r>
        <w:t>Denominazione misura: ARETEC003 - Rilascio da parte del Direttore di Struttura della dichiarazione di assenza di conflitto di interessi per ogni procedura di affidamento.</w:t>
      </w:r>
    </w:p>
    <w:p w:rsidR="006440AE" w:rsidRDefault="00F6758F">
      <w:pPr>
        <w:jc w:val="both"/>
      </w:pPr>
      <w:r>
        <w:t>La misura non è stata attuata nei tempi previsti dal PTPCT o dalla sezione Anticorruzione e Trasparenza del PIAO, in particolare: la misura è attualmente in corso di adozione.</w:t>
      </w:r>
    </w:p>
    <w:p w:rsidR="006440AE" w:rsidRDefault="006440AE">
      <w:pPr>
        <w:jc w:val="both"/>
      </w:pPr>
    </w:p>
    <w:p w:rsidR="006440AE" w:rsidRDefault="00F6758F">
      <w:pPr>
        <w:jc w:val="both"/>
      </w:pPr>
      <w:r>
        <w:t>Area di rischio: D.3 Contratti pubblici - Selezione del contraente.</w:t>
      </w:r>
    </w:p>
    <w:p w:rsidR="006440AE" w:rsidRDefault="00F6758F">
      <w:pPr>
        <w:jc w:val="both"/>
      </w:pPr>
      <w:r>
        <w:t>Denominazione misura: ARETEC003 - Rilascio da parte dei membri del seggio di gara della dichiarazione di assenza di conflitto di interessi.</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D.5 Contratti pubblici – Esecuzione.</w:t>
      </w:r>
    </w:p>
    <w:p w:rsidR="006440AE" w:rsidRDefault="00F6758F">
      <w:pPr>
        <w:jc w:val="both"/>
      </w:pPr>
      <w:r>
        <w:t>Denominazione misura: APBESE003 - Rilascio da parte del RUP della dichiarazione di assenza di conflitto di interessi con riferimento alla programmazione approvata.</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D.5 Contratti pubblici – Esecuzione.</w:t>
      </w:r>
    </w:p>
    <w:p w:rsidR="006440AE" w:rsidRDefault="00F6758F">
      <w:pPr>
        <w:jc w:val="both"/>
      </w:pPr>
      <w:r>
        <w:t>Denominazione misura: APBESE003 - Rilascio da parte di tutti i membri del Collegio Tecnico di una dichiarazione di assenza di conflitto di interessi.</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D.5 Contratti pubblici – Esecuzione.</w:t>
      </w:r>
    </w:p>
    <w:p w:rsidR="006440AE" w:rsidRDefault="00F6758F">
      <w:pPr>
        <w:jc w:val="both"/>
      </w:pPr>
      <w:r>
        <w:t>Denominazione misura: APBESE008 - Rilascio da parte del RES della dichiarazione di assenza di conflitto di interessi per ogni procedura di affidamento.</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D.5 Contratti pubblici – Esecuzione.</w:t>
      </w:r>
    </w:p>
    <w:p w:rsidR="006440AE" w:rsidRDefault="00F6758F">
      <w:pPr>
        <w:jc w:val="both"/>
      </w:pPr>
      <w:r>
        <w:t>Denominazione misura: APBESE008 - Rilascio da parte di tutti gli operatori economici della dichiarazione di assenza di conflitto di interessi per ogni procedura di affidamento inferiore a €5000.</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D.5 Contratti pubblici – Esecuzione.</w:t>
      </w:r>
    </w:p>
    <w:p w:rsidR="006440AE" w:rsidRDefault="00F6758F">
      <w:pPr>
        <w:jc w:val="both"/>
      </w:pPr>
      <w:r>
        <w:t>Denominazione misura: SAOTER009 - Rilascio da parte del DEC della dichiarazione di assenza di conflitto di interessi per ogni procedura di affidamento.</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E. Incarichi e nomine.</w:t>
      </w:r>
    </w:p>
    <w:p w:rsidR="006440AE" w:rsidRDefault="00F6758F">
      <w:pPr>
        <w:jc w:val="both"/>
      </w:pPr>
      <w:r>
        <w:t>Denominazione misura: RISUMA001 - Rilascio da parte di tutti i membri dei Collegi Tecnici della dichiarazione di cui all’art. 35-bis del D.lgs. 165/2001 e della dichiarazione di assenza di conflitto di interessi.</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E. Incarichi e nomine.</w:t>
      </w:r>
    </w:p>
    <w:p w:rsidR="006440AE" w:rsidRDefault="00F6758F">
      <w:pPr>
        <w:jc w:val="both"/>
      </w:pPr>
      <w:r>
        <w:t>Denominazione misura: RISUMA001 - Rilascio da parte di tutti i Dirigenti PTA incaricati della dichiarazione di assenza di situazioni di inconferibilità o di incompatibilità previste dal D.lgs. 39/2013.</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E. Incarichi e nomine.</w:t>
      </w:r>
    </w:p>
    <w:p w:rsidR="006440AE" w:rsidRDefault="00F6758F">
      <w:pPr>
        <w:jc w:val="both"/>
      </w:pPr>
      <w:r>
        <w:t>Denominazione misura: RISUMA002 - Rilascio da parte di ogni membro della commissione di una dichiarazione di assenza di conflitto di interessi e di situazioni di incompatibilità.</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F. Gestione delle entrate, delle spese e del patrimonio.</w:t>
      </w:r>
    </w:p>
    <w:p w:rsidR="006440AE" w:rsidRDefault="00F6758F">
      <w:pPr>
        <w:jc w:val="both"/>
      </w:pPr>
      <w:r>
        <w:t>Denominazione misura: APICDG013 - A partire dal 01/09/2023, tutti i documenti finali devono essere approvati formalmente da tutti i soggetti coinvolti nell’individuazione dei fattori produttivi e dai Direttori di Dipartimento di competenza per garantire la terzietà dell’analisi.</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F. Gestione delle entrate, delle spese e del patrimonio.</w:t>
      </w:r>
    </w:p>
    <w:p w:rsidR="006440AE" w:rsidRDefault="00F6758F">
      <w:pPr>
        <w:jc w:val="both"/>
      </w:pPr>
      <w:r>
        <w:t>Denominazione misura: ARETEC006 - Per i beni che hanno un valore residuo di mercato pari o superiore a €5000, tale valore e i soggetti aziendali che lo hanno definito devono essere indicati nella delibera del Direttore Generale di approvazione del bando di alienazione.</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G. Controlli, verifiche, ispezioni e sanzioni.</w:t>
      </w:r>
    </w:p>
    <w:p w:rsidR="006440AE" w:rsidRDefault="00F6758F">
      <w:pPr>
        <w:jc w:val="both"/>
      </w:pPr>
      <w:r>
        <w:t>Denominazione misura: DIRSAN004 - Rilascio da parte di tutti i membri della commissione della dichiarazione di assenza di conflitto di interessi.</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G. Controlli, verifiche, ispezioni e sanzioni.</w:t>
      </w:r>
    </w:p>
    <w:p w:rsidR="006440AE" w:rsidRDefault="00F6758F">
      <w:pPr>
        <w:jc w:val="both"/>
      </w:pPr>
      <w:r>
        <w:t>Denominazione misura: FARMAC003 - Rilascio annuale da parte dei Presidenti delle commissioni al Direttore di struttura di una dichiarazione di assenza di conflitto di interessi rispetto ai possibili destinatari dei controlli.</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G. Controlli, verifiche, ispezioni e sanzioni.</w:t>
      </w:r>
    </w:p>
    <w:p w:rsidR="006440AE" w:rsidRDefault="00F6758F">
      <w:pPr>
        <w:jc w:val="both"/>
      </w:pPr>
      <w:r>
        <w:t>Denominazione misura: PREVEN001 - Rilascio da parte del Direttore dell’Unità Funzionale e suoi delegati al Direttore di Area di almeno una dichiarazione nella quale si impegnano a segnalare la presenza di conflitti di interesse anche potenziali rispetto all’attività assegnata. Le dichiarazioni di impegno devono essere rilasciate su apposito modello predisposto dal DIR con la collaborazione del RPCT.</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G. Controlli, verifiche, ispezioni e sanzioni,</w:t>
      </w:r>
    </w:p>
    <w:p w:rsidR="006440AE" w:rsidRDefault="00F6758F">
      <w:pPr>
        <w:jc w:val="both"/>
      </w:pPr>
      <w:r>
        <w:t>Denominazione misura: PREVEN002 - Invio di almeno un promemoria all’anno per ricordare a tutti i soggetti coinvolti, la necessità di segnalare eventuali insorgenze di conflitti di interessi anche potenziali rispetto all’attività assegnata.</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G. Controlli, verifiche, ispezioni e sanzioni.</w:t>
      </w:r>
    </w:p>
    <w:p w:rsidR="006440AE" w:rsidRDefault="00F6758F">
      <w:pPr>
        <w:jc w:val="both"/>
      </w:pPr>
      <w:r>
        <w:t>Denominazione misura: PREVEN004 - Rilascio da parte di ogni operatore al proprio Direttore dell’Unità Funzionale di almeno una dichiarazione nella quale si impegna a segnalare la presenza di conflitti di interesse anche potenziali rispetto all’attività assegnata. Le dichiarazioni di impegno devono essere rilasciate su apposito modello predisposto dal DIR con la collaborazione del RPCT.</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O. Attività amministrative non riconducibili ad altre aree di rischio.</w:t>
      </w:r>
    </w:p>
    <w:p w:rsidR="006440AE" w:rsidRDefault="00F6758F">
      <w:pPr>
        <w:jc w:val="both"/>
      </w:pPr>
      <w:r>
        <w:t>Denominazione misura: STAFDA008 - Sottoscrizione da parte del donante di una dichiarazione di assenza di conflitto di interessi in relazione a ciascuna donazione.</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O. Attività amministrative non riconducibili ad altre aree di rischio.</w:t>
      </w:r>
    </w:p>
    <w:p w:rsidR="006440AE" w:rsidRDefault="00F6758F">
      <w:pPr>
        <w:jc w:val="both"/>
      </w:pPr>
      <w:r>
        <w:t>Denominazione misura: STAFDA008 - Sottoscrizione da parte dei componenti del Comitato Tecnico Aziendale di una dichiarazione di assenza di conflitto di interessi in relazione a tutte le donazioni della seduta. La dichiarazione può essere inclusa all’interno del verbale o parere.</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O. Attività amministrative non riconducibili ad altre aree di rischio.</w:t>
      </w:r>
    </w:p>
    <w:p w:rsidR="006440AE" w:rsidRDefault="00F6758F">
      <w:pPr>
        <w:jc w:val="both"/>
      </w:pPr>
      <w:r>
        <w:t>Denominazione misura: STAFDA008 - Sottoscrizione da parte del ricevente di una dichiarazione di assenza di conflitto di interessi in relazione a ciascuna donazione.</w:t>
      </w:r>
    </w:p>
    <w:p w:rsidR="006440AE" w:rsidRDefault="00F6758F">
      <w:pPr>
        <w:jc w:val="both"/>
      </w:pPr>
      <w:r>
        <w:t>La misura è stata attuata nei tempi previsti.</w:t>
      </w:r>
    </w:p>
    <w:p w:rsidR="006440AE" w:rsidRDefault="00F6758F">
      <w:pPr>
        <w:jc w:val="both"/>
      </w:pPr>
      <w:r>
        <w:br/>
        <w:t>Area di rischio: O. Attività amministrative non riconducibili ad altre aree di rischio.</w:t>
      </w:r>
    </w:p>
    <w:p w:rsidR="006440AE" w:rsidRDefault="00F6758F">
      <w:pPr>
        <w:jc w:val="both"/>
      </w:pPr>
      <w:r>
        <w:t>Denominazione misura: STAFDA015 - Acquisizione da parte del personale amministrativo della SOC Comitato Gestione Sinistri e Assicurazioni delle dichiarazioni annuali di assenza di situazioni di incompatibilità ai sensi dell’art. 35-bis del D.lgs. 165/2001, di tutti i membri partecipanti al Comitato Gestione Sinistri.</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O. Attività amministrative non riconducibili ad altre aree di rischio.</w:t>
      </w:r>
    </w:p>
    <w:p w:rsidR="006440AE" w:rsidRDefault="00F6758F">
      <w:pPr>
        <w:jc w:val="both"/>
      </w:pPr>
      <w:r>
        <w:t>Denominazione misura: STAFDA015 - Inserimento all’interno di ciascun verbale sottoscritto dai membri del Comitato Gestione Sinistri, di una dichiarazione di assenza di conflitto di interessi.</w:t>
      </w:r>
    </w:p>
    <w:p w:rsidR="006440AE" w:rsidRDefault="00F6758F">
      <w:pPr>
        <w:jc w:val="both"/>
      </w:pPr>
      <w:r>
        <w:t>La misura è stata attuata nei tempi previsti.</w:t>
      </w:r>
    </w:p>
    <w:p w:rsidR="006440AE" w:rsidRDefault="006440AE">
      <w:pPr>
        <w:jc w:val="both"/>
      </w:pPr>
    </w:p>
    <w:p w:rsidR="006440AE" w:rsidRDefault="00F6758F">
      <w:pPr>
        <w:jc w:val="both"/>
      </w:pPr>
      <w:r>
        <w:t>Area di rischio: T. Rapporti con soggetti erogatori - Accordi/Contratti di attività.</w:t>
      </w:r>
    </w:p>
    <w:p w:rsidR="006440AE" w:rsidRDefault="00F6758F">
      <w:pPr>
        <w:jc w:val="both"/>
      </w:pPr>
      <w:r>
        <w:t>Denominazione misura: SERSOC001 - Rilascio da parte del DEC della dichiarazione di assenza di conflitto di interessi per ogni procedura di affidamento.</w:t>
      </w:r>
    </w:p>
    <w:p w:rsidR="006440AE" w:rsidRDefault="00F6758F">
      <w:pPr>
        <w:jc w:val="both"/>
      </w:pPr>
      <w:r>
        <w:t>La misura non è stata attuata nei tempi previsti dal PTPCT o dalla sezione Anticorruzione e Trasparenza del PIAO, in particolare: la misura è attualmente in corso di adozione.</w:t>
      </w:r>
    </w:p>
    <w:p w:rsidR="006440AE" w:rsidRDefault="006440AE">
      <w:pPr>
        <w:jc w:val="both"/>
      </w:pPr>
    </w:p>
    <w:p w:rsidR="006440AE" w:rsidRDefault="00F6758F">
      <w:pPr>
        <w:jc w:val="both"/>
      </w:pPr>
      <w:r>
        <w:t>Area di rischio: W. Farmaceutica, dispositivi e altre tecnologie - Sperimentazioni cliniche.</w:t>
      </w:r>
    </w:p>
    <w:p w:rsidR="006440AE" w:rsidRDefault="00F6758F">
      <w:pPr>
        <w:jc w:val="both"/>
      </w:pPr>
      <w:r>
        <w:t>Denominazione misura: STAFDS003 - Rilascio da parte del PI della dichiarazione di assenza di conflitto di interessi integrata nel modello DoI.</w:t>
      </w:r>
    </w:p>
    <w:p w:rsidR="006440AE" w:rsidRDefault="00F6758F">
      <w:pPr>
        <w:jc w:val="both"/>
      </w:pPr>
      <w:r>
        <w:t>La misura è stata attuata nei tempi previsti.</w:t>
      </w:r>
    </w:p>
    <w:p w:rsidR="006440AE" w:rsidRDefault="00F6758F">
      <w:pPr>
        <w:jc w:val="both"/>
      </w:pPr>
      <w:r>
        <w:rPr>
          <w:noProof/>
        </w:rPr>
        <mc:AlternateContent>
          <mc:Choice Requires="wps">
            <w:drawing>
              <wp:anchor distT="0" distB="23495" distL="112395" distR="131445" simplePos="0" relativeHeight="251644416" behindDoc="0" locked="0" layoutInCell="0" allowOverlap="1" wp14:anchorId="318CEC50" wp14:editId="06529275">
                <wp:simplePos x="0" y="0"/>
                <wp:positionH relativeFrom="column">
                  <wp:posOffset>3810</wp:posOffset>
                </wp:positionH>
                <wp:positionV relativeFrom="paragraph">
                  <wp:posOffset>220980</wp:posOffset>
                </wp:positionV>
                <wp:extent cx="6119495" cy="868680"/>
                <wp:effectExtent l="0" t="0" r="0" b="7620"/>
                <wp:wrapTopAndBottom/>
                <wp:docPr id="25" name="Casella di testo 18"/>
                <wp:cNvGraphicFramePr/>
                <a:graphic xmlns:a="http://schemas.openxmlformats.org/drawingml/2006/main">
                  <a:graphicData uri="http://schemas.microsoft.com/office/word/2010/wordprocessingShape">
                    <wps:wsp>
                      <wps:cNvSpPr/>
                      <wps:spPr>
                        <a:xfrm>
                          <a:off x="0" y="0"/>
                          <a:ext cx="6119495" cy="868680"/>
                        </a:xfrm>
                        <a:prstGeom prst="rect">
                          <a:avLst/>
                        </a:prstGeom>
                        <a:solidFill>
                          <a:schemeClr val="accent5">
                            <a:lumMod val="20000"/>
                            <a:lumOff val="80000"/>
                          </a:schemeClr>
                        </a:solidFill>
                        <a:ln w="6350">
                          <a:solidFill>
                            <a:srgbClr val="000000"/>
                          </a:solidFill>
                          <a:round/>
                        </a:ln>
                      </wps:spPr>
                      <wps:style>
                        <a:lnRef idx="0">
                          <a:scrgbClr r="0" g="0" b="0"/>
                        </a:lnRef>
                        <a:fillRef idx="0">
                          <a:scrgbClr r="0" g="0" b="0"/>
                        </a:fillRef>
                        <a:effectRef idx="0">
                          <a:scrgbClr r="0" g="0" b="0"/>
                        </a:effectRef>
                        <a:fontRef idx="minor"/>
                      </wps:style>
                      <wps:txbx>
                        <w:txbxContent>
                          <w:p w:rsidR="00F6758F" w:rsidRDefault="00F6758F">
                            <w:pPr>
                              <w:pStyle w:val="Contenutocornice"/>
                              <w:rPr>
                                <w:color w:val="000000"/>
                              </w:rPr>
                            </w:pPr>
                            <w:r>
                              <w:rPr>
                                <w:color w:val="000000"/>
                              </w:rPr>
                              <w:t>Note del RPCT:</w:t>
                            </w:r>
                          </w:p>
                          <w:p w:rsidR="00F6758F" w:rsidRDefault="00F6758F" w:rsidP="004B64C4">
                            <w:pPr>
                              <w:pStyle w:val="Contenutocornice"/>
                              <w:jc w:val="both"/>
                              <w:rPr>
                                <w:color w:val="000000"/>
                              </w:rPr>
                            </w:pPr>
                            <w:r w:rsidRPr="00F6758F">
                              <w:rPr>
                                <w:color w:val="000000"/>
                              </w:rPr>
                              <w:t xml:space="preserve">Per una limitazione della Piattaforma di acquisizione dei Piani Triennali per la Prevenzione della Corruzione e della Trasparenza di ANAC, in questa </w:t>
                            </w:r>
                            <w:r>
                              <w:rPr>
                                <w:color w:val="000000"/>
                              </w:rPr>
                              <w:t xml:space="preserve">sezione </w:t>
                            </w:r>
                            <w:r w:rsidRPr="00F6758F">
                              <w:rPr>
                                <w:color w:val="000000"/>
                              </w:rPr>
                              <w:t xml:space="preserve">è stato possibile rendicontare il monitoraggio </w:t>
                            </w:r>
                            <w:r>
                              <w:rPr>
                                <w:color w:val="000000"/>
                              </w:rPr>
                              <w:t xml:space="preserve">solo di alcune </w:t>
                            </w:r>
                            <w:r w:rsidRPr="00F6758F">
                              <w:rPr>
                                <w:color w:val="000000"/>
                              </w:rPr>
                              <w:t>misure programmate.</w:t>
                            </w:r>
                          </w:p>
                        </w:txbxContent>
                      </wps:txbx>
                      <wps:bodyPr wrap="square" anchor="t">
                        <a:prstTxWarp prst="textNoShape">
                          <a:avLst/>
                        </a:prstTxWarp>
                        <a:noAutofit/>
                      </wps:bodyPr>
                    </wps:wsp>
                  </a:graphicData>
                </a:graphic>
                <wp14:sizeRelV relativeFrom="margin">
                  <wp14:pctHeight>0</wp14:pctHeight>
                </wp14:sizeRelV>
              </wp:anchor>
            </w:drawing>
          </mc:Choice>
          <mc:Fallback>
            <w:pict>
              <v:rect w14:anchorId="318CEC50" id="Casella di testo 18" o:spid="_x0000_s1050" style="position:absolute;left:0;text-align:left;margin-left:.3pt;margin-top:17.4pt;width:481.85pt;height:68.4pt;z-index:251644416;visibility:visible;mso-wrap-style:square;mso-height-percent:0;mso-wrap-distance-left:8.85pt;mso-wrap-distance-top:0;mso-wrap-distance-right:10.35pt;mso-wrap-distance-bottom:1.8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" o:allowincell="f" fillcolor="#deeaf6 [664]" strokeweight=".5pt">
                <v:stroke joinstyle="round"/>
                <v:textbox>
                  <w:txbxContent>
                    <w:p w:rsidR="00F6758F" w:rsidRDefault="00F6758F">
                      <w:pPr>
                        <w:pStyle w:val="Contenutocornice"/>
                        <w:rPr>
                          <w:color w:val="000000"/>
                        </w:rPr>
                      </w:pPr>
                      <w:r>
                        <w:rPr>
                          <w:color w:val="000000"/>
                        </w:rPr>
                        <w:t>Note del RPCT:</w:t>
                      </w:r>
                    </w:p>
                    <w:p w:rsidR="00F6758F" w:rsidRDefault="00F6758F" w:rsidP="004B64C4">
                      <w:pPr>
                        <w:pStyle w:val="Contenutocornice"/>
                        <w:jc w:val="both"/>
                        <w:rPr>
                          <w:color w:val="000000"/>
                        </w:rPr>
                      </w:pPr>
                      <w:r w:rsidRPr="00F6758F">
                        <w:rPr>
                          <w:color w:val="000000"/>
                        </w:rPr>
                        <w:t xml:space="preserve">Per una limitazione della Piattaforma di acquisizione dei Piani Triennali per la Prevenzione della Corruzione e della Trasparenza di ANAC, in questa </w:t>
                      </w:r>
                      <w:r>
                        <w:rPr>
                          <w:color w:val="000000"/>
                        </w:rPr>
                        <w:t xml:space="preserve">sezione </w:t>
                      </w:r>
                      <w:r w:rsidRPr="00F6758F">
                        <w:rPr>
                          <w:color w:val="000000"/>
                        </w:rPr>
                        <w:t xml:space="preserve">è stato possibile rendicontare il monitoraggio </w:t>
                      </w:r>
                      <w:r>
                        <w:rPr>
                          <w:color w:val="000000"/>
                        </w:rPr>
                        <w:t xml:space="preserve">solo di alcune </w:t>
                      </w:r>
                      <w:r w:rsidRPr="00F6758F">
                        <w:rPr>
                          <w:color w:val="000000"/>
                        </w:rPr>
                        <w:t>misure programmate.</w:t>
                      </w:r>
                    </w:p>
                  </w:txbxContent>
                </v:textbox>
                <w10:wrap type="topAndBottom"/>
              </v:rect>
            </w:pict>
          </mc:Fallback>
        </mc:AlternateContent>
      </w:r>
    </w:p>
    <w:p w:rsidR="006440AE" w:rsidRDefault="006440AE">
      <w:bookmarkStart w:id="35" w:name="_GoBack"/>
      <w:bookmarkEnd w:id="35"/>
    </w:p>
    <w:sectPr w:rsidR="006440AE">
      <w:footerReference w:type="even" r:id="rId8"/>
      <w:footerReference w:type="default" r:id="rId9"/>
      <w:footerReference w:type="first" r:id="rId10"/>
      <w:pgSz w:w="11906" w:h="16838"/>
      <w:pgMar w:top="1417" w:right="1134" w:bottom="1134" w:left="1134"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58F" w:rsidRDefault="00F6758F">
      <w:r>
        <w:separator/>
      </w:r>
    </w:p>
  </w:endnote>
  <w:endnote w:type="continuationSeparator" w:id="0">
    <w:p w:rsidR="00F6758F" w:rsidRDefault="00F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58F" w:rsidRDefault="00F6758F">
    <w:pPr>
      <w:pStyle w:val="Pidipagina"/>
      <w:ind w:right="360"/>
    </w:pPr>
    <w:r>
      <w:rPr>
        <w:noProof/>
      </w:rPr>
      <mc:AlternateContent>
        <mc:Choice Requires="wps">
          <w:drawing>
            <wp:anchor distT="0" distB="0" distL="0" distR="0" simplePos="0" relativeHeight="2" behindDoc="1" locked="0" layoutInCell="0" allowOverlap="1">
              <wp:simplePos x="0" y="0"/>
              <wp:positionH relativeFrom="margin">
                <wp:align>right</wp:align>
              </wp:positionH>
              <wp:positionV relativeFrom="paragraph">
                <wp:posOffset>635</wp:posOffset>
              </wp:positionV>
              <wp:extent cx="14605" cy="14605"/>
              <wp:effectExtent l="0" t="0" r="0" b="0"/>
              <wp:wrapNone/>
              <wp:docPr id="26" name="Cornice26"/>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sdt>
                          <w:sdtPr>
                            <w:id w:val="1075864534"/>
                            <w:docPartObj>
                              <w:docPartGallery w:val="Page Numbers (Bottom of Page)"/>
                              <w:docPartUnique/>
                            </w:docPartObj>
                          </w:sdtPr>
                          <w:sdtContent>
                            <w:p w:rsidR="00F6758F" w:rsidRDefault="00F6758F">
                              <w:pPr>
                                <w:pStyle w:val="Pidipagina"/>
                                <w:rPr>
                                  <w:rStyle w:val="Numeropagina"/>
                                </w:rPr>
                              </w:pPr>
                              <w:r>
                                <w:rPr>
                                  <w:rStyle w:val="Numeropagina"/>
                                  <w:color w:val="000000"/>
                                </w:rPr>
                                <w:fldChar w:fldCharType="begin"/>
                              </w:r>
                              <w:r>
                                <w:rPr>
                                  <w:rStyle w:val="Numeropagina"/>
                                  <w:color w:val="000000"/>
                                </w:rPr>
                                <w:instrText xml:space="preserve"> PAGE </w:instrText>
                              </w:r>
                              <w:r>
                                <w:rPr>
                                  <w:rStyle w:val="Numeropagina"/>
                                  <w:color w:val="000000"/>
                                </w:rPr>
                                <w:fldChar w:fldCharType="separate"/>
                              </w:r>
                              <w:r>
                                <w:rPr>
                                  <w:rStyle w:val="Numeropagina"/>
                                  <w:color w:val="000000"/>
                                </w:rPr>
                                <w:t>0</w:t>
                              </w:r>
                              <w:r>
                                <w:rPr>
                                  <w:rStyle w:val="Numeropagina"/>
                                  <w:color w:val="000000"/>
                                </w:rPr>
                                <w:fldChar w:fldCharType="end"/>
                              </w:r>
                            </w:p>
                          </w:sdtContent>
                        </w:sdt>
                      </w:txbxContent>
                    </wps:txbx>
                    <wps:bodyPr lIns="0" tIns="0" rIns="0" bIns="0" anchor="t">
                      <a:spAutoFit/>
                    </wps:bodyPr>
                  </wps:wsp>
                </a:graphicData>
              </a:graphic>
            </wp:anchor>
          </w:drawing>
        </mc:Choice>
        <mc:Fallback>
          <w:pict>
            <v:rect id="Cornice26" o:spid="_x0000_s1051" style="position:absolute;margin-left:-50.05pt;margin-top:.05pt;width:1.15pt;height:1.15pt;z-index:-50331647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" o:allowincell="f" filled="f" stroked="f" strokeweight="0">
              <v:textbox style="mso-fit-shape-to-text:t" inset="0,0,0,0">
                <w:txbxContent>
                  <w:sdt>
                    <w:sdtPr>
                      <w:id w:val="1075864534"/>
                      <w:docPartObj>
                        <w:docPartGallery w:val="Page Numbers (Bottom of Page)"/>
                        <w:docPartUnique/>
                      </w:docPartObj>
                    </w:sdtPr>
                    <w:sdtContent>
                      <w:p w:rsidR="00F6758F" w:rsidRDefault="00F6758F">
                        <w:pPr>
                          <w:pStyle w:val="Pidipagina"/>
                          <w:rPr>
                            <w:rStyle w:val="Numeropagina"/>
                          </w:rPr>
                        </w:pPr>
                        <w:r>
                          <w:rPr>
                            <w:rStyle w:val="Numeropagina"/>
                            <w:color w:val="000000"/>
                          </w:rPr>
                          <w:fldChar w:fldCharType="begin"/>
                        </w:r>
                        <w:r>
                          <w:rPr>
                            <w:rStyle w:val="Numeropagina"/>
                            <w:color w:val="000000"/>
                          </w:rPr>
                          <w:instrText xml:space="preserve"> PAGE </w:instrText>
                        </w:r>
                        <w:r>
                          <w:rPr>
                            <w:rStyle w:val="Numeropagina"/>
                            <w:color w:val="000000"/>
                          </w:rPr>
                          <w:fldChar w:fldCharType="separate"/>
                        </w:r>
                        <w:r>
                          <w:rPr>
                            <w:rStyle w:val="Numeropagina"/>
                            <w:color w:val="000000"/>
                          </w:rPr>
                          <w:t>0</w:t>
                        </w:r>
                        <w:r>
                          <w:rPr>
                            <w:rStyle w:val="Numeropagina"/>
                            <w:color w:val="000000"/>
                          </w:rPr>
                          <w:fldChar w:fldCharType="end"/>
                        </w:r>
                      </w:p>
                    </w:sdtContent>
                  </w:sdt>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277581"/>
      <w:docPartObj>
        <w:docPartGallery w:val="Page Numbers (Bottom of Page)"/>
        <w:docPartUnique/>
      </w:docPartObj>
    </w:sdtPr>
    <w:sdtContent>
      <w:p w:rsidR="00F6758F" w:rsidRDefault="00F6758F">
        <w:pPr>
          <w:pStyle w:val="Pidipagina"/>
          <w:jc w:val="center"/>
        </w:pPr>
        <w:r>
          <w:fldChar w:fldCharType="begin"/>
        </w:r>
        <w:r>
          <w:instrText xml:space="preserve"> PAGE </w:instrText>
        </w:r>
        <w:r>
          <w:fldChar w:fldCharType="separate"/>
        </w:r>
        <w:r w:rsidR="00CE69EB">
          <w:rPr>
            <w:noProof/>
          </w:rPr>
          <w:t>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058582"/>
      <w:docPartObj>
        <w:docPartGallery w:val="Page Numbers (Bottom of Page)"/>
        <w:docPartUnique/>
      </w:docPartObj>
    </w:sdtPr>
    <w:sdtContent>
      <w:p w:rsidR="00F6758F" w:rsidRDefault="00F6758F">
        <w:pPr>
          <w:pStyle w:val="Pidipagina"/>
          <w:jc w:val="center"/>
        </w:pPr>
        <w:r>
          <w:fldChar w:fldCharType="begin"/>
        </w:r>
        <w:r>
          <w:instrText xml:space="preserve"> PAGE </w:instrText>
        </w:r>
        <w:r>
          <w:fldChar w:fldCharType="separate"/>
        </w:r>
        <w:r>
          <w:t>10</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58F" w:rsidRDefault="00F6758F">
      <w:r>
        <w:separator/>
      </w:r>
    </w:p>
  </w:footnote>
  <w:footnote w:type="continuationSeparator" w:id="0">
    <w:p w:rsidR="00F6758F" w:rsidRDefault="00F675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BF9"/>
    <w:multiLevelType w:val="multilevel"/>
    <w:tmpl w:val="41F0DE20"/>
    <w:lvl w:ilvl="0">
      <w:start w:val="1"/>
      <w:numFmt w:val="bullet"/>
      <w:lvlText w:val=""/>
      <w:lvlJc w:val="left"/>
      <w:pPr>
        <w:tabs>
          <w:tab w:val="num" w:pos="840"/>
        </w:tabs>
        <w:ind w:left="840" w:hanging="360"/>
      </w:pPr>
      <w:rPr>
        <w:rFonts w:ascii="Symbol" w:hAnsi="Symbol" w:cs="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1" w15:restartNumberingAfterBreak="0">
    <w:nsid w:val="018B6427"/>
    <w:multiLevelType w:val="multilevel"/>
    <w:tmpl w:val="F9C4747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3B442E7"/>
    <w:multiLevelType w:val="multilevel"/>
    <w:tmpl w:val="BDB68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41C5940"/>
    <w:multiLevelType w:val="multilevel"/>
    <w:tmpl w:val="7384FE3E"/>
    <w:lvl w:ilvl="0">
      <w:start w:val="1"/>
      <w:numFmt w:val="bullet"/>
      <w:lvlText w:val=""/>
      <w:lvlJc w:val="left"/>
      <w:pPr>
        <w:tabs>
          <w:tab w:val="num" w:pos="840"/>
        </w:tabs>
        <w:ind w:left="840" w:hanging="360"/>
      </w:pPr>
      <w:rPr>
        <w:rFonts w:ascii="Symbol" w:hAnsi="Symbol" w:cs="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4" w15:restartNumberingAfterBreak="0">
    <w:nsid w:val="063F5526"/>
    <w:multiLevelType w:val="multilevel"/>
    <w:tmpl w:val="CC124B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07784142"/>
    <w:multiLevelType w:val="multilevel"/>
    <w:tmpl w:val="977E2B5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09BB04C3"/>
    <w:multiLevelType w:val="multilevel"/>
    <w:tmpl w:val="D0AE62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40540D7"/>
    <w:multiLevelType w:val="multilevel"/>
    <w:tmpl w:val="74D82148"/>
    <w:lvl w:ilvl="0">
      <w:start w:val="1"/>
      <w:numFmt w:val="bullet"/>
      <w:lvlText w:val=""/>
      <w:lvlJc w:val="left"/>
      <w:pPr>
        <w:tabs>
          <w:tab w:val="num" w:pos="840"/>
        </w:tabs>
        <w:ind w:left="840" w:hanging="360"/>
      </w:pPr>
      <w:rPr>
        <w:rFonts w:ascii="Symbol" w:hAnsi="Symbol" w:cs="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8" w15:restartNumberingAfterBreak="0">
    <w:nsid w:val="165D196D"/>
    <w:multiLevelType w:val="multilevel"/>
    <w:tmpl w:val="2C88A1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80B15C3"/>
    <w:multiLevelType w:val="multilevel"/>
    <w:tmpl w:val="2592A3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189C60EF"/>
    <w:multiLevelType w:val="multilevel"/>
    <w:tmpl w:val="D9A2C206"/>
    <w:lvl w:ilvl="0">
      <w:start w:val="1"/>
      <w:numFmt w:val="bullet"/>
      <w:lvlText w:val=""/>
      <w:lvlJc w:val="left"/>
      <w:pPr>
        <w:tabs>
          <w:tab w:val="num" w:pos="840"/>
        </w:tabs>
        <w:ind w:left="840" w:hanging="360"/>
      </w:pPr>
      <w:rPr>
        <w:rFonts w:ascii="Symbol" w:hAnsi="Symbol" w:cs="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11" w15:restartNumberingAfterBreak="0">
    <w:nsid w:val="1B7B7071"/>
    <w:multiLevelType w:val="multilevel"/>
    <w:tmpl w:val="FB4079B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1C966F09"/>
    <w:multiLevelType w:val="multilevel"/>
    <w:tmpl w:val="195A05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1D5F7302"/>
    <w:multiLevelType w:val="multilevel"/>
    <w:tmpl w:val="A6302516"/>
    <w:lvl w:ilvl="0">
      <w:start w:val="1"/>
      <w:numFmt w:val="bullet"/>
      <w:lvlText w:val=""/>
      <w:lvlJc w:val="left"/>
      <w:pPr>
        <w:tabs>
          <w:tab w:val="num" w:pos="840"/>
        </w:tabs>
        <w:ind w:left="840" w:hanging="360"/>
      </w:pPr>
      <w:rPr>
        <w:rFonts w:ascii="Symbol" w:hAnsi="Symbol" w:cs="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14" w15:restartNumberingAfterBreak="0">
    <w:nsid w:val="1DA152B3"/>
    <w:multiLevelType w:val="multilevel"/>
    <w:tmpl w:val="E0CCA2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1E42724D"/>
    <w:multiLevelType w:val="multilevel"/>
    <w:tmpl w:val="917CB8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21AF6D96"/>
    <w:multiLevelType w:val="multilevel"/>
    <w:tmpl w:val="BD503DE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31AD05A1"/>
    <w:multiLevelType w:val="multilevel"/>
    <w:tmpl w:val="5C96509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32546FCC"/>
    <w:multiLevelType w:val="multilevel"/>
    <w:tmpl w:val="5BBA4B2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32547B4F"/>
    <w:multiLevelType w:val="multilevel"/>
    <w:tmpl w:val="B9B6F2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343D4EFD"/>
    <w:multiLevelType w:val="multilevel"/>
    <w:tmpl w:val="E55A5BF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379C1365"/>
    <w:multiLevelType w:val="multilevel"/>
    <w:tmpl w:val="5CDCE67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3A307C24"/>
    <w:multiLevelType w:val="multilevel"/>
    <w:tmpl w:val="6E844BA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3ABA1F29"/>
    <w:multiLevelType w:val="multilevel"/>
    <w:tmpl w:val="5B52C7D4"/>
    <w:lvl w:ilvl="0">
      <w:start w:val="1"/>
      <w:numFmt w:val="bullet"/>
      <w:lvlText w:val=""/>
      <w:lvlJc w:val="left"/>
      <w:pPr>
        <w:tabs>
          <w:tab w:val="num" w:pos="840"/>
        </w:tabs>
        <w:ind w:left="840" w:hanging="360"/>
      </w:pPr>
      <w:rPr>
        <w:rFonts w:ascii="Symbol" w:hAnsi="Symbol" w:cs="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24" w15:restartNumberingAfterBreak="0">
    <w:nsid w:val="3FE4517E"/>
    <w:multiLevelType w:val="multilevel"/>
    <w:tmpl w:val="24FA0C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40326E39"/>
    <w:multiLevelType w:val="multilevel"/>
    <w:tmpl w:val="7D2C686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D4879D2"/>
    <w:multiLevelType w:val="multilevel"/>
    <w:tmpl w:val="8B8852FC"/>
    <w:lvl w:ilvl="0">
      <w:start w:val="1"/>
      <w:numFmt w:val="decimal"/>
      <w:pStyle w:val="Titolo1"/>
      <w:lvlText w:val="SEZIONE %1"/>
      <w:lvlJc w:val="left"/>
      <w:pPr>
        <w:tabs>
          <w:tab w:val="num" w:pos="0"/>
        </w:tabs>
        <w:ind w:left="432" w:hanging="432"/>
      </w:pPr>
    </w:lvl>
    <w:lvl w:ilvl="1">
      <w:start w:val="1"/>
      <w:numFmt w:val="decimal"/>
      <w:pStyle w:val="Titolo2"/>
      <w:lvlText w:val="%1.%2"/>
      <w:lvlJc w:val="left"/>
      <w:pPr>
        <w:tabs>
          <w:tab w:val="num" w:pos="0"/>
        </w:tabs>
        <w:ind w:left="576" w:hanging="576"/>
      </w:pPr>
    </w:lvl>
    <w:lvl w:ilvl="2">
      <w:start w:val="1"/>
      <w:numFmt w:val="decimal"/>
      <w:pStyle w:val="Titolo3"/>
      <w:lvlText w:val="%1.%2.%3"/>
      <w:lvlJc w:val="left"/>
      <w:pPr>
        <w:tabs>
          <w:tab w:val="num" w:pos="0"/>
        </w:tabs>
        <w:ind w:left="720" w:hanging="720"/>
      </w:pPr>
    </w:lvl>
    <w:lvl w:ilvl="3">
      <w:start w:val="1"/>
      <w:numFmt w:val="decimal"/>
      <w:pStyle w:val="Titolo4"/>
      <w:lvlText w:val="%1.%2.%3.%4"/>
      <w:lvlJc w:val="left"/>
      <w:pPr>
        <w:tabs>
          <w:tab w:val="num" w:pos="0"/>
        </w:tabs>
        <w:ind w:left="864" w:hanging="864"/>
      </w:pPr>
    </w:lvl>
    <w:lvl w:ilvl="4">
      <w:start w:val="1"/>
      <w:numFmt w:val="decimal"/>
      <w:pStyle w:val="Titolo5"/>
      <w:lvlText w:val="%1.%2.%3.%4.%5"/>
      <w:lvlJc w:val="left"/>
      <w:pPr>
        <w:tabs>
          <w:tab w:val="num" w:pos="0"/>
        </w:tabs>
        <w:ind w:left="1008" w:hanging="1008"/>
      </w:pPr>
    </w:lvl>
    <w:lvl w:ilvl="5">
      <w:start w:val="1"/>
      <w:numFmt w:val="decimal"/>
      <w:pStyle w:val="Titolo6"/>
      <w:lvlText w:val="%1.%2.%3.%4.%5.%6"/>
      <w:lvlJc w:val="left"/>
      <w:pPr>
        <w:tabs>
          <w:tab w:val="num" w:pos="0"/>
        </w:tabs>
        <w:ind w:left="1152" w:hanging="1152"/>
      </w:pPr>
    </w:lvl>
    <w:lvl w:ilvl="6">
      <w:start w:val="1"/>
      <w:numFmt w:val="decimal"/>
      <w:pStyle w:val="Titolo7"/>
      <w:lvlText w:val="%1.%2.%3.%4.%5.%6.%7"/>
      <w:lvlJc w:val="left"/>
      <w:pPr>
        <w:tabs>
          <w:tab w:val="num" w:pos="0"/>
        </w:tabs>
        <w:ind w:left="1296" w:hanging="1296"/>
      </w:pPr>
    </w:lvl>
    <w:lvl w:ilvl="7">
      <w:start w:val="1"/>
      <w:numFmt w:val="decimal"/>
      <w:pStyle w:val="Titolo8"/>
      <w:lvlText w:val="%1.%2.%3.%4.%5.%6.%7.%8"/>
      <w:lvlJc w:val="left"/>
      <w:pPr>
        <w:tabs>
          <w:tab w:val="num" w:pos="0"/>
        </w:tabs>
        <w:ind w:left="1440" w:hanging="1440"/>
      </w:pPr>
    </w:lvl>
    <w:lvl w:ilvl="8">
      <w:start w:val="1"/>
      <w:numFmt w:val="decimal"/>
      <w:pStyle w:val="Titolo9"/>
      <w:lvlText w:val="%1.%2.%3.%4.%5.%6.%7.%8.%9"/>
      <w:lvlJc w:val="left"/>
      <w:pPr>
        <w:tabs>
          <w:tab w:val="num" w:pos="0"/>
        </w:tabs>
        <w:ind w:left="1584" w:hanging="1584"/>
      </w:pPr>
    </w:lvl>
  </w:abstractNum>
  <w:abstractNum w:abstractNumId="27" w15:restartNumberingAfterBreak="0">
    <w:nsid w:val="4EF01C60"/>
    <w:multiLevelType w:val="multilevel"/>
    <w:tmpl w:val="AC5E02B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50A5180E"/>
    <w:multiLevelType w:val="multilevel"/>
    <w:tmpl w:val="1F36AB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516C5738"/>
    <w:multiLevelType w:val="multilevel"/>
    <w:tmpl w:val="9CA4CA6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51A2715F"/>
    <w:multiLevelType w:val="multilevel"/>
    <w:tmpl w:val="4B6CC10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15:restartNumberingAfterBreak="0">
    <w:nsid w:val="55CF4090"/>
    <w:multiLevelType w:val="multilevel"/>
    <w:tmpl w:val="35A8E55A"/>
    <w:lvl w:ilvl="0">
      <w:start w:val="1"/>
      <w:numFmt w:val="bullet"/>
      <w:lvlText w:val=""/>
      <w:lvlJc w:val="left"/>
      <w:pPr>
        <w:tabs>
          <w:tab w:val="num" w:pos="840"/>
        </w:tabs>
        <w:ind w:left="840" w:hanging="360"/>
      </w:pPr>
      <w:rPr>
        <w:rFonts w:ascii="Symbol" w:hAnsi="Symbol" w:cs="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32" w15:restartNumberingAfterBreak="0">
    <w:nsid w:val="5E9F39D8"/>
    <w:multiLevelType w:val="multilevel"/>
    <w:tmpl w:val="A8FC7BE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625E7631"/>
    <w:multiLevelType w:val="multilevel"/>
    <w:tmpl w:val="2ACE7B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650416FB"/>
    <w:multiLevelType w:val="multilevel"/>
    <w:tmpl w:val="853A662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68B5440F"/>
    <w:multiLevelType w:val="multilevel"/>
    <w:tmpl w:val="77383B9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68FE17C8"/>
    <w:multiLevelType w:val="multilevel"/>
    <w:tmpl w:val="3648F66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6E3C331F"/>
    <w:multiLevelType w:val="multilevel"/>
    <w:tmpl w:val="AE4C3DAC"/>
    <w:lvl w:ilvl="0">
      <w:start w:val="1"/>
      <w:numFmt w:val="bullet"/>
      <w:lvlText w:val=""/>
      <w:lvlJc w:val="left"/>
      <w:pPr>
        <w:tabs>
          <w:tab w:val="num" w:pos="802"/>
        </w:tabs>
        <w:ind w:left="802" w:hanging="360"/>
      </w:pPr>
      <w:rPr>
        <w:rFonts w:ascii="Symbol" w:hAnsi="Symbol" w:cs="Symbol" w:hint="default"/>
      </w:rPr>
    </w:lvl>
    <w:lvl w:ilvl="1">
      <w:start w:val="1"/>
      <w:numFmt w:val="bullet"/>
      <w:lvlText w:val="◦"/>
      <w:lvlJc w:val="left"/>
      <w:pPr>
        <w:tabs>
          <w:tab w:val="num" w:pos="1162"/>
        </w:tabs>
        <w:ind w:left="1162" w:hanging="360"/>
      </w:pPr>
      <w:rPr>
        <w:rFonts w:ascii="OpenSymbol" w:hAnsi="OpenSymbol" w:cs="OpenSymbol" w:hint="default"/>
      </w:rPr>
    </w:lvl>
    <w:lvl w:ilvl="2">
      <w:start w:val="1"/>
      <w:numFmt w:val="bullet"/>
      <w:lvlText w:val="▪"/>
      <w:lvlJc w:val="left"/>
      <w:pPr>
        <w:tabs>
          <w:tab w:val="num" w:pos="1522"/>
        </w:tabs>
        <w:ind w:left="1522" w:hanging="360"/>
      </w:pPr>
      <w:rPr>
        <w:rFonts w:ascii="OpenSymbol" w:hAnsi="OpenSymbol" w:cs="OpenSymbol" w:hint="default"/>
      </w:rPr>
    </w:lvl>
    <w:lvl w:ilvl="3">
      <w:start w:val="1"/>
      <w:numFmt w:val="bullet"/>
      <w:lvlText w:val=""/>
      <w:lvlJc w:val="left"/>
      <w:pPr>
        <w:tabs>
          <w:tab w:val="num" w:pos="1882"/>
        </w:tabs>
        <w:ind w:left="1882" w:hanging="360"/>
      </w:pPr>
      <w:rPr>
        <w:rFonts w:ascii="Symbol" w:hAnsi="Symbol" w:cs="Symbol" w:hint="default"/>
      </w:rPr>
    </w:lvl>
    <w:lvl w:ilvl="4">
      <w:start w:val="1"/>
      <w:numFmt w:val="bullet"/>
      <w:lvlText w:val="◦"/>
      <w:lvlJc w:val="left"/>
      <w:pPr>
        <w:tabs>
          <w:tab w:val="num" w:pos="2242"/>
        </w:tabs>
        <w:ind w:left="2242" w:hanging="360"/>
      </w:pPr>
      <w:rPr>
        <w:rFonts w:ascii="OpenSymbol" w:hAnsi="OpenSymbol" w:cs="OpenSymbol" w:hint="default"/>
      </w:rPr>
    </w:lvl>
    <w:lvl w:ilvl="5">
      <w:start w:val="1"/>
      <w:numFmt w:val="bullet"/>
      <w:lvlText w:val="▪"/>
      <w:lvlJc w:val="left"/>
      <w:pPr>
        <w:tabs>
          <w:tab w:val="num" w:pos="2602"/>
        </w:tabs>
        <w:ind w:left="2602" w:hanging="360"/>
      </w:pPr>
      <w:rPr>
        <w:rFonts w:ascii="OpenSymbol" w:hAnsi="OpenSymbol" w:cs="OpenSymbol" w:hint="default"/>
      </w:rPr>
    </w:lvl>
    <w:lvl w:ilvl="6">
      <w:start w:val="1"/>
      <w:numFmt w:val="bullet"/>
      <w:lvlText w:val=""/>
      <w:lvlJc w:val="left"/>
      <w:pPr>
        <w:tabs>
          <w:tab w:val="num" w:pos="2962"/>
        </w:tabs>
        <w:ind w:left="2962" w:hanging="360"/>
      </w:pPr>
      <w:rPr>
        <w:rFonts w:ascii="Symbol" w:hAnsi="Symbol" w:cs="Symbol" w:hint="default"/>
      </w:rPr>
    </w:lvl>
    <w:lvl w:ilvl="7">
      <w:start w:val="1"/>
      <w:numFmt w:val="bullet"/>
      <w:lvlText w:val="◦"/>
      <w:lvlJc w:val="left"/>
      <w:pPr>
        <w:tabs>
          <w:tab w:val="num" w:pos="3322"/>
        </w:tabs>
        <w:ind w:left="3322" w:hanging="360"/>
      </w:pPr>
      <w:rPr>
        <w:rFonts w:ascii="OpenSymbol" w:hAnsi="OpenSymbol" w:cs="OpenSymbol" w:hint="default"/>
      </w:rPr>
    </w:lvl>
    <w:lvl w:ilvl="8">
      <w:start w:val="1"/>
      <w:numFmt w:val="bullet"/>
      <w:lvlText w:val="▪"/>
      <w:lvlJc w:val="left"/>
      <w:pPr>
        <w:tabs>
          <w:tab w:val="num" w:pos="3682"/>
        </w:tabs>
        <w:ind w:left="3682" w:hanging="360"/>
      </w:pPr>
      <w:rPr>
        <w:rFonts w:ascii="OpenSymbol" w:hAnsi="OpenSymbol" w:cs="OpenSymbol" w:hint="default"/>
      </w:rPr>
    </w:lvl>
  </w:abstractNum>
  <w:abstractNum w:abstractNumId="38" w15:restartNumberingAfterBreak="0">
    <w:nsid w:val="707E6798"/>
    <w:multiLevelType w:val="multilevel"/>
    <w:tmpl w:val="003078F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717973E7"/>
    <w:multiLevelType w:val="multilevel"/>
    <w:tmpl w:val="848A0E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76237210"/>
    <w:multiLevelType w:val="multilevel"/>
    <w:tmpl w:val="50A2A7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1" w15:restartNumberingAfterBreak="0">
    <w:nsid w:val="78E65685"/>
    <w:multiLevelType w:val="multilevel"/>
    <w:tmpl w:val="F30EE05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79796065"/>
    <w:multiLevelType w:val="multilevel"/>
    <w:tmpl w:val="AB1E53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15:restartNumberingAfterBreak="0">
    <w:nsid w:val="79B447F4"/>
    <w:multiLevelType w:val="multilevel"/>
    <w:tmpl w:val="4872BD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7C947A5D"/>
    <w:multiLevelType w:val="multilevel"/>
    <w:tmpl w:val="0662434E"/>
    <w:lvl w:ilvl="0">
      <w:start w:val="1"/>
      <w:numFmt w:val="bullet"/>
      <w:lvlText w:val=""/>
      <w:lvlJc w:val="left"/>
      <w:pPr>
        <w:tabs>
          <w:tab w:val="num" w:pos="840"/>
        </w:tabs>
        <w:ind w:left="840" w:hanging="360"/>
      </w:pPr>
      <w:rPr>
        <w:rFonts w:ascii="Symbol" w:hAnsi="Symbol" w:cs="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num w:numId="1">
    <w:abstractNumId w:val="26"/>
  </w:num>
  <w:num w:numId="2">
    <w:abstractNumId w:val="41"/>
  </w:num>
  <w:num w:numId="3">
    <w:abstractNumId w:val="2"/>
  </w:num>
  <w:num w:numId="4">
    <w:abstractNumId w:val="38"/>
  </w:num>
  <w:num w:numId="5">
    <w:abstractNumId w:val="23"/>
  </w:num>
  <w:num w:numId="6">
    <w:abstractNumId w:val="31"/>
  </w:num>
  <w:num w:numId="7">
    <w:abstractNumId w:val="16"/>
  </w:num>
  <w:num w:numId="8">
    <w:abstractNumId w:val="6"/>
  </w:num>
  <w:num w:numId="9">
    <w:abstractNumId w:val="36"/>
  </w:num>
  <w:num w:numId="10">
    <w:abstractNumId w:val="22"/>
  </w:num>
  <w:num w:numId="11">
    <w:abstractNumId w:val="42"/>
  </w:num>
  <w:num w:numId="12">
    <w:abstractNumId w:val="21"/>
  </w:num>
  <w:num w:numId="13">
    <w:abstractNumId w:val="25"/>
  </w:num>
  <w:num w:numId="14">
    <w:abstractNumId w:val="12"/>
  </w:num>
  <w:num w:numId="15">
    <w:abstractNumId w:val="29"/>
  </w:num>
  <w:num w:numId="16">
    <w:abstractNumId w:val="19"/>
  </w:num>
  <w:num w:numId="17">
    <w:abstractNumId w:val="43"/>
  </w:num>
  <w:num w:numId="18">
    <w:abstractNumId w:val="39"/>
  </w:num>
  <w:num w:numId="19">
    <w:abstractNumId w:val="5"/>
  </w:num>
  <w:num w:numId="20">
    <w:abstractNumId w:val="20"/>
  </w:num>
  <w:num w:numId="21">
    <w:abstractNumId w:val="11"/>
  </w:num>
  <w:num w:numId="22">
    <w:abstractNumId w:val="9"/>
  </w:num>
  <w:num w:numId="23">
    <w:abstractNumId w:val="1"/>
  </w:num>
  <w:num w:numId="24">
    <w:abstractNumId w:val="4"/>
  </w:num>
  <w:num w:numId="25">
    <w:abstractNumId w:val="13"/>
  </w:num>
  <w:num w:numId="26">
    <w:abstractNumId w:val="3"/>
  </w:num>
  <w:num w:numId="27">
    <w:abstractNumId w:val="7"/>
  </w:num>
  <w:num w:numId="28">
    <w:abstractNumId w:val="10"/>
  </w:num>
  <w:num w:numId="29">
    <w:abstractNumId w:val="0"/>
  </w:num>
  <w:num w:numId="30">
    <w:abstractNumId w:val="44"/>
  </w:num>
  <w:num w:numId="31">
    <w:abstractNumId w:val="17"/>
  </w:num>
  <w:num w:numId="32">
    <w:abstractNumId w:val="30"/>
  </w:num>
  <w:num w:numId="33">
    <w:abstractNumId w:val="33"/>
  </w:num>
  <w:num w:numId="34">
    <w:abstractNumId w:val="15"/>
  </w:num>
  <w:num w:numId="35">
    <w:abstractNumId w:val="40"/>
  </w:num>
  <w:num w:numId="36">
    <w:abstractNumId w:val="34"/>
  </w:num>
  <w:num w:numId="37">
    <w:abstractNumId w:val="35"/>
  </w:num>
  <w:num w:numId="38">
    <w:abstractNumId w:val="27"/>
  </w:num>
  <w:num w:numId="39">
    <w:abstractNumId w:val="28"/>
  </w:num>
  <w:num w:numId="40">
    <w:abstractNumId w:val="24"/>
  </w:num>
  <w:num w:numId="41">
    <w:abstractNumId w:val="18"/>
  </w:num>
  <w:num w:numId="42">
    <w:abstractNumId w:val="14"/>
  </w:num>
  <w:num w:numId="43">
    <w:abstractNumId w:val="32"/>
  </w:num>
  <w:num w:numId="44">
    <w:abstractNumId w:val="8"/>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AE"/>
    <w:rsid w:val="00181D89"/>
    <w:rsid w:val="004B64C4"/>
    <w:rsid w:val="006440AE"/>
    <w:rsid w:val="00CE69EB"/>
    <w:rsid w:val="00F6758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928B"/>
  <w15:docId w15:val="{4BEDA795-C432-442A-9257-68F17602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2A5A"/>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2954F2"/>
    <w:pPr>
      <w:keepNext/>
      <w:keepLines/>
      <w:numPr>
        <w:numId w:val="1"/>
      </w:numPr>
      <w:pBdr>
        <w:bottom w:val="single" w:sz="4" w:space="1" w:color="000000"/>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1"/>
      </w:numPr>
      <w:pBdr>
        <w:bottom w:val="single" w:sz="4" w:space="1" w:color="000000"/>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D86271"/>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2954F2"/>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954F2"/>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2954F2"/>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2954F2"/>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2954F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2954F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
    <w:uiPriority w:val="99"/>
    <w:qFormat/>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qFormat/>
    <w:rsid w:val="002954F2"/>
    <w:rPr>
      <w:rFonts w:asciiTheme="majorHAnsi" w:eastAsiaTheme="majorEastAsia" w:hAnsiTheme="majorHAnsi" w:cstheme="majorBidi"/>
      <w:b/>
      <w:color w:val="2F5496" w:themeColor="accent1" w:themeShade="BF"/>
      <w:sz w:val="32"/>
      <w:szCs w:val="32"/>
      <w:lang w:eastAsia="it-IT"/>
    </w:rPr>
  </w:style>
  <w:style w:type="character" w:customStyle="1" w:styleId="Titolo2Carattere">
    <w:name w:val="Titolo 2 Carattere"/>
    <w:basedOn w:val="Carpredefinitoparagrafo"/>
    <w:link w:val="Titolo2"/>
    <w:uiPriority w:val="9"/>
    <w:qFormat/>
    <w:rsid w:val="00DD6527"/>
    <w:rPr>
      <w:rFonts w:asciiTheme="majorHAnsi" w:eastAsiaTheme="majorEastAsia" w:hAnsiTheme="majorHAnsi" w:cstheme="majorBidi"/>
      <w:i/>
      <w:color w:val="4472C4" w:themeColor="accent1"/>
      <w:sz w:val="26"/>
      <w:szCs w:val="26"/>
    </w:rPr>
  </w:style>
  <w:style w:type="character" w:styleId="Collegamentoipertestuale">
    <w:name w:val="Hyperlink"/>
    <w:basedOn w:val="Carpredefinitoparagrafo"/>
    <w:uiPriority w:val="99"/>
    <w:unhideWhenUsed/>
    <w:rsid w:val="007D3B4C"/>
    <w:rPr>
      <w:color w:val="0563C1" w:themeColor="hyperlink"/>
      <w:u w:val="single"/>
    </w:rPr>
  </w:style>
  <w:style w:type="character" w:styleId="Rimandocommento">
    <w:name w:val="annotation reference"/>
    <w:basedOn w:val="Carpredefinitoparagrafo"/>
    <w:uiPriority w:val="99"/>
    <w:semiHidden/>
    <w:unhideWhenUsed/>
    <w:qFormat/>
    <w:rsid w:val="00B37B9B"/>
    <w:rPr>
      <w:sz w:val="16"/>
      <w:szCs w:val="16"/>
    </w:rPr>
  </w:style>
  <w:style w:type="character" w:customStyle="1" w:styleId="TestocommentoCarattere">
    <w:name w:val="Testo commento Carattere"/>
    <w:basedOn w:val="Carpredefinitoparagrafo"/>
    <w:link w:val="Testocommento"/>
    <w:uiPriority w:val="99"/>
    <w:semiHidden/>
    <w:qFormat/>
    <w:rsid w:val="00B37B9B"/>
    <w:rPr>
      <w:sz w:val="20"/>
      <w:szCs w:val="20"/>
    </w:rPr>
  </w:style>
  <w:style w:type="character" w:customStyle="1" w:styleId="SoggettocommentoCarattere">
    <w:name w:val="Soggetto commento Carattere"/>
    <w:basedOn w:val="TestocommentoCarattere"/>
    <w:link w:val="Soggettocommento"/>
    <w:uiPriority w:val="99"/>
    <w:semiHidden/>
    <w:qFormat/>
    <w:rsid w:val="00B37B9B"/>
    <w:rPr>
      <w:b/>
      <w:bCs/>
      <w:sz w:val="20"/>
      <w:szCs w:val="20"/>
    </w:rPr>
  </w:style>
  <w:style w:type="character" w:customStyle="1" w:styleId="TestofumettoCarattere">
    <w:name w:val="Testo fumetto Carattere"/>
    <w:basedOn w:val="Carpredefinitoparagrafo"/>
    <w:link w:val="Testofumetto"/>
    <w:uiPriority w:val="99"/>
    <w:semiHidden/>
    <w:qFormat/>
    <w:rsid w:val="00B37B9B"/>
    <w:rPr>
      <w:rFonts w:ascii="Times New Roman" w:hAnsi="Times New Roman"/>
      <w:sz w:val="18"/>
      <w:szCs w:val="18"/>
    </w:rPr>
  </w:style>
  <w:style w:type="character" w:customStyle="1" w:styleId="Titolo3Carattere">
    <w:name w:val="Titolo 3 Carattere"/>
    <w:basedOn w:val="Carpredefinitoparagrafo"/>
    <w:link w:val="Titolo3"/>
    <w:uiPriority w:val="9"/>
    <w:qFormat/>
    <w:rsid w:val="00D86271"/>
    <w:rPr>
      <w:rFonts w:asciiTheme="majorHAnsi" w:eastAsiaTheme="majorEastAsia" w:hAnsiTheme="majorHAnsi" w:cstheme="majorBidi"/>
      <w:color w:val="1F3763" w:themeColor="accent1" w:themeShade="7F"/>
      <w:lang w:eastAsia="it-IT"/>
    </w:rPr>
  </w:style>
  <w:style w:type="character" w:customStyle="1" w:styleId="Titolo4Carattere">
    <w:name w:val="Titolo 4 Carattere"/>
    <w:basedOn w:val="Carpredefinitoparagrafo"/>
    <w:link w:val="Titolo4"/>
    <w:uiPriority w:val="9"/>
    <w:semiHidden/>
    <w:qFormat/>
    <w:rsid w:val="002954F2"/>
    <w:rPr>
      <w:rFonts w:asciiTheme="majorHAnsi" w:eastAsiaTheme="majorEastAsia" w:hAnsiTheme="majorHAnsi" w:cstheme="majorBidi"/>
      <w:i/>
      <w:iCs/>
      <w:color w:val="2F5496" w:themeColor="accent1" w:themeShade="BF"/>
      <w:lang w:eastAsia="it-IT"/>
    </w:rPr>
  </w:style>
  <w:style w:type="character" w:customStyle="1" w:styleId="Titolo5Carattere">
    <w:name w:val="Titolo 5 Carattere"/>
    <w:basedOn w:val="Carpredefinitoparagrafo"/>
    <w:link w:val="Titolo5"/>
    <w:uiPriority w:val="9"/>
    <w:semiHidden/>
    <w:qFormat/>
    <w:rsid w:val="002954F2"/>
    <w:rPr>
      <w:rFonts w:asciiTheme="majorHAnsi" w:eastAsiaTheme="majorEastAsia" w:hAnsiTheme="majorHAnsi" w:cstheme="majorBidi"/>
      <w:color w:val="2F5496" w:themeColor="accent1" w:themeShade="BF"/>
      <w:lang w:eastAsia="it-IT"/>
    </w:rPr>
  </w:style>
  <w:style w:type="character" w:customStyle="1" w:styleId="Titolo6Carattere">
    <w:name w:val="Titolo 6 Carattere"/>
    <w:basedOn w:val="Carpredefinitoparagrafo"/>
    <w:link w:val="Titolo6"/>
    <w:uiPriority w:val="9"/>
    <w:semiHidden/>
    <w:qFormat/>
    <w:rsid w:val="002954F2"/>
    <w:rPr>
      <w:rFonts w:asciiTheme="majorHAnsi" w:eastAsiaTheme="majorEastAsia" w:hAnsiTheme="majorHAnsi" w:cstheme="majorBidi"/>
      <w:color w:val="1F3763" w:themeColor="accent1" w:themeShade="7F"/>
      <w:lang w:eastAsia="it-IT"/>
    </w:rPr>
  </w:style>
  <w:style w:type="character" w:customStyle="1" w:styleId="Titolo7Carattere">
    <w:name w:val="Titolo 7 Carattere"/>
    <w:basedOn w:val="Carpredefinitoparagrafo"/>
    <w:link w:val="Titolo7"/>
    <w:uiPriority w:val="9"/>
    <w:semiHidden/>
    <w:qFormat/>
    <w:rsid w:val="002954F2"/>
    <w:rPr>
      <w:rFonts w:asciiTheme="majorHAnsi" w:eastAsiaTheme="majorEastAsia" w:hAnsiTheme="majorHAnsi" w:cstheme="majorBidi"/>
      <w:i/>
      <w:iCs/>
      <w:color w:val="1F3763" w:themeColor="accent1" w:themeShade="7F"/>
      <w:lang w:eastAsia="it-IT"/>
    </w:rPr>
  </w:style>
  <w:style w:type="character" w:customStyle="1" w:styleId="Titolo8Carattere">
    <w:name w:val="Titolo 8 Carattere"/>
    <w:basedOn w:val="Carpredefinitoparagrafo"/>
    <w:link w:val="Titolo8"/>
    <w:uiPriority w:val="9"/>
    <w:semiHidden/>
    <w:qFormat/>
    <w:rsid w:val="002954F2"/>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qFormat/>
    <w:rsid w:val="002954F2"/>
    <w:rPr>
      <w:rFonts w:asciiTheme="majorHAnsi" w:eastAsiaTheme="majorEastAsia" w:hAnsiTheme="majorHAnsi" w:cstheme="majorBidi"/>
      <w:i/>
      <w:iCs/>
      <w:color w:val="272727" w:themeColor="text1" w:themeTint="D8"/>
      <w:sz w:val="21"/>
      <w:szCs w:val="21"/>
      <w:lang w:eastAsia="it-IT"/>
    </w:rPr>
  </w:style>
  <w:style w:type="character" w:customStyle="1" w:styleId="IntestazioneCarattere">
    <w:name w:val="Intestazione Carattere"/>
    <w:basedOn w:val="Carpredefinitoparagrafo"/>
    <w:link w:val="Intestazione"/>
    <w:uiPriority w:val="99"/>
    <w:qFormat/>
    <w:rsid w:val="002954F2"/>
    <w:rPr>
      <w:rFonts w:ascii="Times New Roman" w:eastAsia="Times New Roman" w:hAnsi="Times New Roman" w:cs="Times New Roman"/>
      <w:lang w:eastAsia="it-IT"/>
    </w:rPr>
  </w:style>
  <w:style w:type="character" w:customStyle="1" w:styleId="SottotitoloCarattere">
    <w:name w:val="Sottotitolo Carattere"/>
    <w:basedOn w:val="Carpredefinitoparagrafo"/>
    <w:link w:val="Sottotitolo"/>
    <w:uiPriority w:val="11"/>
    <w:qFormat/>
    <w:rsid w:val="00FC3331"/>
    <w:rPr>
      <w:rFonts w:eastAsiaTheme="minorEastAsia"/>
      <w:color w:val="5A5A5A" w:themeColor="text1" w:themeTint="A5"/>
      <w:spacing w:val="15"/>
      <w:sz w:val="22"/>
      <w:szCs w:val="22"/>
      <w:lang w:eastAsia="it-IT"/>
    </w:rPr>
  </w:style>
  <w:style w:type="character" w:customStyle="1" w:styleId="Saltoaindice">
    <w:name w:val="Salto a indice"/>
    <w:qFormat/>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Calibri" w:eastAsia="Microsoft YaHei" w:hAnsi="Calibri"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ascii="Calibri" w:hAnsi="Calibri" w:cs="Lucida Sans"/>
    </w:rPr>
  </w:style>
  <w:style w:type="paragraph" w:styleId="Didascalia">
    <w:name w:val="caption"/>
    <w:basedOn w:val="Normale"/>
    <w:next w:val="Normale"/>
    <w:uiPriority w:val="35"/>
    <w:unhideWhenUsed/>
    <w:qFormat/>
    <w:rsid w:val="00352A17"/>
    <w:pPr>
      <w:spacing w:after="200"/>
    </w:pPr>
    <w:rPr>
      <w:i/>
      <w:iCs/>
      <w:color w:val="44546A" w:themeColor="text2"/>
      <w:sz w:val="18"/>
      <w:szCs w:val="18"/>
    </w:rPr>
  </w:style>
  <w:style w:type="paragraph" w:customStyle="1" w:styleId="Indice">
    <w:name w:val="Indice"/>
    <w:basedOn w:val="Normale"/>
    <w:qFormat/>
    <w:pPr>
      <w:suppressLineNumbers/>
    </w:pPr>
    <w:rPr>
      <w:rFonts w:ascii="Calibri" w:hAnsi="Calibri" w:cs="Lucida Sans"/>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rsid w:val="00424EBB"/>
    <w:pPr>
      <w:tabs>
        <w:tab w:val="center" w:pos="4819"/>
        <w:tab w:val="right" w:pos="9638"/>
      </w:tabs>
    </w:pPr>
  </w:style>
  <w:style w:type="paragraph" w:styleId="Titoloindice">
    <w:name w:val="index heading"/>
    <w:basedOn w:val="Titolo"/>
  </w:style>
  <w:style w:type="paragraph" w:styleId="Titolosommario">
    <w:name w:val="TOC Heading"/>
    <w:basedOn w:val="Titolo1"/>
    <w:next w:val="Normale"/>
    <w:uiPriority w:val="39"/>
    <w:unhideWhenUsed/>
    <w:qFormat/>
    <w:rsid w:val="007D3B4C"/>
    <w:pPr>
      <w:pBdr>
        <w:bottom w:val="nil"/>
      </w:pBdr>
      <w:spacing w:before="480" w:line="276" w:lineRule="auto"/>
      <w:outlineLvl w:val="9"/>
    </w:pPr>
    <w:rPr>
      <w:bCs/>
      <w:sz w:val="28"/>
      <w:szCs w:val="28"/>
    </w:rPr>
  </w:style>
  <w:style w:type="paragraph" w:styleId="Sommario1">
    <w:name w:val="toc 1"/>
    <w:basedOn w:val="Normale"/>
    <w:next w:val="Normale"/>
    <w:autoRedefine/>
    <w:uiPriority w:val="39"/>
    <w:unhideWhenUsed/>
    <w:rsid w:val="00FC3331"/>
    <w:pPr>
      <w:spacing w:before="120"/>
    </w:pPr>
    <w:rPr>
      <w:rFonts w:eastAsiaTheme="minorHAnsi"/>
      <w:b/>
      <w:bCs/>
      <w:i/>
      <w:iCs/>
      <w:lang w:eastAsia="en-U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paragraph" w:styleId="Testocommento">
    <w:name w:val="annotation text"/>
    <w:basedOn w:val="Normale"/>
    <w:link w:val="TestocommentoCarattere"/>
    <w:uiPriority w:val="99"/>
    <w:semiHidden/>
    <w:unhideWhenUsed/>
    <w:rsid w:val="00B37B9B"/>
    <w:rPr>
      <w:sz w:val="20"/>
      <w:szCs w:val="20"/>
    </w:rPr>
  </w:style>
  <w:style w:type="paragraph" w:styleId="Soggettocommento">
    <w:name w:val="annotation subject"/>
    <w:basedOn w:val="Testocommento"/>
    <w:next w:val="Testocommento"/>
    <w:link w:val="SoggettocommentoCarattere"/>
    <w:uiPriority w:val="99"/>
    <w:semiHidden/>
    <w:unhideWhenUsed/>
    <w:qFormat/>
    <w:rsid w:val="00B37B9B"/>
    <w:rPr>
      <w:b/>
      <w:bCs/>
    </w:rPr>
  </w:style>
  <w:style w:type="paragraph" w:styleId="Testofumetto">
    <w:name w:val="Balloon Text"/>
    <w:basedOn w:val="Normale"/>
    <w:link w:val="TestofumettoCarattere"/>
    <w:uiPriority w:val="99"/>
    <w:semiHidden/>
    <w:unhideWhenUsed/>
    <w:qFormat/>
    <w:rsid w:val="00B37B9B"/>
    <w:rPr>
      <w:sz w:val="18"/>
      <w:szCs w:val="18"/>
    </w:rPr>
  </w:style>
  <w:style w:type="paragraph" w:styleId="Intestazione">
    <w:name w:val="header"/>
    <w:basedOn w:val="Normale"/>
    <w:link w:val="IntestazioneCarattere"/>
    <w:uiPriority w:val="99"/>
    <w:unhideWhenUsed/>
    <w:rsid w:val="002954F2"/>
    <w:pPr>
      <w:tabs>
        <w:tab w:val="center" w:pos="4819"/>
        <w:tab w:val="right" w:pos="9638"/>
      </w:tabs>
    </w:pPr>
  </w:style>
  <w:style w:type="paragraph" w:styleId="Sottotitolo">
    <w:name w:val="Subtitle"/>
    <w:basedOn w:val="Normale"/>
    <w:next w:val="Normale"/>
    <w:link w:val="SottotitoloCarattere"/>
    <w:uiPriority w:val="11"/>
    <w:qFormat/>
    <w:rsid w:val="00FC3331"/>
    <w:pPr>
      <w:spacing w:after="160"/>
    </w:pPr>
    <w:rPr>
      <w:rFonts w:asciiTheme="minorHAnsi" w:eastAsiaTheme="minorEastAsia" w:hAnsiTheme="minorHAnsi" w:cstheme="minorBidi"/>
      <w:color w:val="5A5A5A" w:themeColor="text1" w:themeTint="A5"/>
      <w:spacing w:val="15"/>
      <w:sz w:val="22"/>
      <w:szCs w:val="22"/>
    </w:rPr>
  </w:style>
  <w:style w:type="paragraph" w:customStyle="1" w:styleId="Contenutocornice">
    <w:name w:val="Contenuto cornice"/>
    <w:basedOn w:val="Normale"/>
    <w:qFormat/>
  </w:style>
  <w:style w:type="table" w:styleId="Grigliatabella">
    <w:name w:val="Table Grid"/>
    <w:basedOn w:val="Tabellanormale"/>
    <w:uiPriority w:val="39"/>
    <w:rsid w:val="00700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B3CBB-7E22-4CE1-9BF9-C338AB434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28</Pages>
  <Words>9538</Words>
  <Characters>54372</Characters>
  <Application>Microsoft Office Word</Application>
  <DocSecurity>0</DocSecurity>
  <Lines>453</Lines>
  <Paragraphs>127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dc:description/>
  <cp:lastModifiedBy>User</cp:lastModifiedBy>
  <cp:revision>102</cp:revision>
  <cp:lastPrinted>2025-01-30T08:25:00Z</cp:lastPrinted>
  <dcterms:created xsi:type="dcterms:W3CDTF">2020-11-11T13:29:00Z</dcterms:created>
  <dcterms:modified xsi:type="dcterms:W3CDTF">2025-01-30T08:26:00Z</dcterms:modified>
  <dc:language>it-IT</dc:language>
</cp:coreProperties>
</file>