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50.wmf" ContentType="image/x-wmf"/>
  <Override PartName="/word/media/image1.jpeg" ContentType="image/jpeg"/>
  <Override PartName="/word/media/image28.png" ContentType="image/png"/>
  <Override PartName="/word/media/image59.png" ContentType="image/png"/>
  <Override PartName="/word/media/image3.png" ContentType="image/png"/>
  <Override PartName="/word/media/image58.png" ContentType="image/png"/>
  <Override PartName="/word/media/image2.png" ContentType="image/png"/>
  <Override PartName="/word/media/image71.png" ContentType="image/png"/>
  <Override PartName="/word/media/image5.png" ContentType="image/png"/>
  <Override PartName="/word/media/image4.wmf" ContentType="image/x-wmf"/>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media/image51.wmf" ContentType="image/x-wmf"/>
  <Override PartName="/word/media/image30.png" ContentType="image/png"/>
  <Override PartName="/word/media/image42.wmf" ContentType="image/x-wmf"/>
  <Override PartName="/word/media/image31.png" ContentType="image/png"/>
  <Override PartName="/word/media/image32.png" ContentType="image/png"/>
  <Override PartName="/word/media/image44.wmf" ContentType="image/x-wmf"/>
  <Override PartName="/word/media/image33.png" ContentType="image/png"/>
  <Override PartName="/word/media/image45.wmf" ContentType="image/x-wmf"/>
  <Override PartName="/word/media/image34.png" ContentType="image/png"/>
  <Override PartName="/word/media/image46.wmf" ContentType="image/x-wmf"/>
  <Override PartName="/word/media/image35.png" ContentType="image/png"/>
  <Override PartName="/word/media/image47.wmf" ContentType="image/x-wmf"/>
  <Override PartName="/word/media/image36.png" ContentType="image/png"/>
  <Override PartName="/word/media/image48.wmf" ContentType="image/x-wmf"/>
  <Override PartName="/word/media/image37.png" ContentType="image/png"/>
  <Override PartName="/word/media/image49.wmf" ContentType="image/x-wmf"/>
  <Override PartName="/word/media/image38.png" ContentType="image/png"/>
  <Override PartName="/word/media/image39.png" ContentType="image/png"/>
  <Override PartName="/word/media/image40.png" ContentType="image/png"/>
  <Override PartName="/word/media/image52.wmf" ContentType="image/x-wmf"/>
  <Override PartName="/word/media/image41.png" ContentType="image/png"/>
  <Override PartName="/word/media/image53.wmf" ContentType="image/x-wmf"/>
  <Override PartName="/word/media/image43.png" ContentType="image/png"/>
  <Override PartName="/word/media/image55.wmf" ContentType="image/x-wmf"/>
  <Override PartName="/word/media/image54.wmf" ContentType="image/x-wmf"/>
  <Override PartName="/word/media/image56.wmf" ContentType="image/x-wmf"/>
  <Override PartName="/word/media/image57.png" ContentType="image/png"/>
  <Override PartName="/word/media/image60.png" ContentType="image/png"/>
  <Override PartName="/word/media/image61.png" ContentType="image/png"/>
  <Override PartName="/word/media/image62.png" ContentType="image/png"/>
  <Override PartName="/word/media/image63.png" ContentType="image/png"/>
  <Override PartName="/word/media/image64.png" ContentType="image/png"/>
  <Override PartName="/word/media/image65.png" ContentType="image/png"/>
  <Override PartName="/word/media/image66.png" ContentType="image/png"/>
  <Override PartName="/word/media/image67.png" ContentType="image/png"/>
  <Override PartName="/word/media/image68.png" ContentType="image/png"/>
  <Override PartName="/word/media/image69.png" ContentType="image/png"/>
  <Override PartName="/word/media/image70.png" ContentType="image/png"/>
  <Override PartName="/word/media/image72.jpeg" ContentType="image/jpeg"/>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_rels/chart3.xml.rels" ContentType="application/vnd.openxmlformats-package.relationships+xml"/>
  <Override PartName="/word/charts/_rels/chart4.xml.rels" ContentType="application/vnd.openxmlformats-package.relationships+xml"/>
  <Override PartName="/word/charts/_rels/chart5.xml.rels" ContentType="application/vnd.openxmlformats-package.relationships+xml"/>
  <Override PartName="/word/charts/_rels/chart8.xml.rels" ContentType="application/vnd.openxmlformats-package.relationship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embeddings/Foglio_di_lavoro_di_Microsoft_Excel.xlsx" ContentType="application/vnd.openxmlformats-officedocument.spreadsheetml.sheet"/>
  <Override PartName="/word/embeddings/oleObject3.bin" ContentType="application/vnd.openxmlformats-officedocument.oleObject"/>
  <Override PartName="/word/embeddings/oleObject2.bin" ContentType="application/vnd.openxmlformats-officedocument.oleObject"/>
  <Override PartName="/word/embeddings/oleObject1.bin" ContentType="application/vnd.openxmlformats-officedocument.oleObject"/>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Intestazione"/>
        <w:spacing w:lineRule="atLeast" w:line="320" w:before="0" w:after="120"/>
        <w:jc w:val="both"/>
        <w:rPr/>
      </w:pPr>
      <w:r>
        <w:rPr/>
      </w:r>
    </w:p>
    <w:p>
      <w:pPr>
        <w:pStyle w:val="Intestazione"/>
        <w:spacing w:lineRule="atLeast" w:line="320" w:before="0" w:after="120"/>
        <w:jc w:val="both"/>
        <w:rPr/>
      </w:pPr>
      <w:r>
        <w:rPr/>
      </w:r>
    </w:p>
    <w:p>
      <w:pPr>
        <w:pStyle w:val="Intestazione"/>
        <w:spacing w:lineRule="atLeast" w:line="320" w:before="0" w:after="120"/>
        <w:jc w:val="center"/>
        <w:rPr/>
      </w:pPr>
      <w:r>
        <w:rPr/>
      </w:r>
    </w:p>
    <w:p>
      <w:pPr>
        <w:pStyle w:val="Intestazione"/>
        <w:spacing w:lineRule="atLeast" w:line="320" w:before="0" w:after="120"/>
        <w:jc w:val="center"/>
        <w:rPr/>
      </w:pPr>
      <w:r>
        <w:rPr/>
      </w:r>
    </w:p>
    <w:p>
      <w:pPr>
        <w:pStyle w:val="Intestazione"/>
        <w:spacing w:lineRule="atLeast" w:line="320" w:before="0" w:after="120"/>
        <w:jc w:val="center"/>
        <w:rPr/>
      </w:pPr>
      <w:r>
        <w:rPr/>
      </w:r>
    </w:p>
    <w:p>
      <w:pPr>
        <w:pStyle w:val="Intestazione"/>
        <w:spacing w:lineRule="atLeast" w:line="320" w:before="0" w:after="120"/>
        <w:jc w:val="center"/>
        <w:rPr/>
      </w:pPr>
      <w:r>
        <w:rPr/>
      </w:r>
    </w:p>
    <w:p>
      <w:pPr>
        <w:pStyle w:val="Intestazione"/>
        <w:spacing w:lineRule="atLeast" w:line="320" w:before="0" w:after="120"/>
        <w:jc w:val="center"/>
        <w:rPr/>
      </w:pPr>
      <w:r>
        <w:rPr/>
        <w:drawing>
          <wp:inline distT="0" distB="0" distL="0" distR="0">
            <wp:extent cx="2324100" cy="1304925"/>
            <wp:effectExtent l="0" t="0" r="0" b="0"/>
            <wp:docPr id="1" name="Im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descr=""/>
                    <pic:cNvPicPr>
                      <a:picLocks noChangeAspect="1" noChangeArrowheads="1"/>
                    </pic:cNvPicPr>
                  </pic:nvPicPr>
                  <pic:blipFill>
                    <a:blip r:embed="rId2"/>
                    <a:stretch>
                      <a:fillRect/>
                    </a:stretch>
                  </pic:blipFill>
                  <pic:spPr bwMode="auto">
                    <a:xfrm>
                      <a:off x="0" y="0"/>
                      <a:ext cx="2324100" cy="1304925"/>
                    </a:xfrm>
                    <a:prstGeom prst="rect">
                      <a:avLst/>
                    </a:prstGeom>
                  </pic:spPr>
                </pic:pic>
              </a:graphicData>
            </a:graphic>
          </wp:inline>
        </w:drawing>
      </w:r>
    </w:p>
    <w:p>
      <w:pPr>
        <w:pStyle w:val="NoSpacing"/>
        <w:spacing w:lineRule="atLeast" w:line="320" w:before="0" w:after="120"/>
        <w:jc w:val="center"/>
        <w:rPr>
          <w:rFonts w:ascii="Calibri" w:hAnsi="Calibri" w:cs="Calibri"/>
          <w:b/>
          <w:b/>
          <w:bCs/>
          <w:sz w:val="40"/>
          <w:szCs w:val="40"/>
        </w:rPr>
      </w:pPr>
      <w:r>
        <w:rPr>
          <w:rFonts w:cs="Calibri" w:ascii="Calibri" w:hAnsi="Calibri"/>
          <w:b/>
          <w:bCs/>
          <w:sz w:val="40"/>
          <w:szCs w:val="40"/>
        </w:rPr>
      </w:r>
    </w:p>
    <w:p>
      <w:pPr>
        <w:pStyle w:val="NoSpacing"/>
        <w:spacing w:lineRule="atLeast" w:line="320" w:before="0" w:after="120"/>
        <w:jc w:val="center"/>
        <w:rPr>
          <w:rFonts w:ascii="Calibri" w:hAnsi="Calibri" w:cs="Calibri"/>
          <w:b/>
          <w:b/>
          <w:bCs/>
          <w:sz w:val="40"/>
          <w:szCs w:val="40"/>
        </w:rPr>
      </w:pPr>
      <w:r>
        <w:rPr>
          <w:rFonts w:cs="Calibri" w:ascii="Calibri" w:hAnsi="Calibri"/>
          <w:b/>
          <w:bCs/>
          <w:sz w:val="40"/>
          <w:szCs w:val="40"/>
        </w:rPr>
        <w:t>Azienda USL Toscana Centro</w:t>
      </w:r>
    </w:p>
    <w:p>
      <w:pPr>
        <w:pStyle w:val="NoSpacing"/>
        <w:spacing w:lineRule="atLeast" w:line="320" w:before="0" w:after="120"/>
        <w:jc w:val="center"/>
        <w:rPr>
          <w:rFonts w:ascii="Calibri" w:hAnsi="Calibri" w:cs="Calibri"/>
          <w:b/>
          <w:b/>
          <w:bCs/>
          <w:sz w:val="40"/>
          <w:szCs w:val="40"/>
        </w:rPr>
      </w:pPr>
      <w:r>
        <w:rPr>
          <w:rFonts w:cs="Calibri" w:ascii="Calibri" w:hAnsi="Calibri"/>
          <w:b/>
          <w:bCs/>
          <w:sz w:val="40"/>
          <w:szCs w:val="40"/>
        </w:rPr>
        <w:t>Relazione al Piano delle Performance 2022</w:t>
      </w:r>
    </w:p>
    <w:p>
      <w:pPr>
        <w:pStyle w:val="NoSpacing"/>
        <w:spacing w:lineRule="atLeast" w:line="320" w:before="0" w:after="120"/>
        <w:jc w:val="center"/>
        <w:rPr>
          <w:rFonts w:ascii="Calibri" w:hAnsi="Calibri" w:cs="Calibri"/>
          <w:b/>
          <w:b/>
          <w:bCs/>
          <w:sz w:val="32"/>
          <w:szCs w:val="32"/>
        </w:rPr>
      </w:pPr>
      <w:r>
        <w:rPr>
          <w:rFonts w:cs="Calibri" w:ascii="Calibri" w:hAnsi="Calibri"/>
          <w:b/>
          <w:bCs/>
          <w:sz w:val="32"/>
          <w:szCs w:val="32"/>
        </w:rPr>
        <w:t>(Novembre 2023)</w:t>
      </w:r>
      <w:r>
        <w:br w:type="page"/>
      </w:r>
    </w:p>
    <w:p>
      <w:pPr>
        <w:pStyle w:val="NoSpacing"/>
        <w:spacing w:lineRule="atLeast" w:line="320"/>
        <w:rPr>
          <w:rFonts w:ascii="Calibri" w:hAnsi="Calibri" w:cs="Calibri" w:asciiTheme="minorHAnsi" w:cstheme="minorHAnsi" w:hAnsiTheme="minorHAnsi"/>
          <w:b/>
          <w:b/>
          <w:bCs/>
          <w:sz w:val="28"/>
          <w:szCs w:val="40"/>
        </w:rPr>
      </w:pPr>
      <w:r>
        <w:rPr>
          <w:rFonts w:cs="Calibri" w:ascii="Calibri" w:hAnsi="Calibri" w:asciiTheme="minorHAnsi" w:cstheme="minorHAnsi" w:hAnsiTheme="minorHAnsi"/>
          <w:b/>
          <w:bCs/>
          <w:sz w:val="28"/>
          <w:szCs w:val="40"/>
        </w:rPr>
        <w:t>Sommario</w:t>
      </w:r>
    </w:p>
    <w:p>
      <w:pPr>
        <w:pStyle w:val="NoSpacing"/>
        <w:spacing w:lineRule="atLeast" w:line="320"/>
        <w:rPr>
          <w:rFonts w:ascii="Calibri" w:hAnsi="Calibri" w:cs="Calibri" w:asciiTheme="minorHAnsi" w:cstheme="minorHAnsi" w:hAnsiTheme="minorHAnsi"/>
          <w:b/>
          <w:b/>
        </w:rPr>
      </w:pPr>
      <w:r>
        <w:rPr>
          <w:rFonts w:cs="Calibri" w:cstheme="minorHAnsi" w:ascii="Calibri" w:hAnsi="Calibri"/>
          <w:b/>
        </w:rPr>
      </w:r>
    </w:p>
    <w:sdt>
      <w:sdtPr>
        <w:docPartObj>
          <w:docPartGallery w:val="Table of Contents"/>
          <w:docPartUnique w:val="true"/>
        </w:docPartObj>
      </w:sdtPr>
      <w:sdtContent>
        <w:p>
          <w:pPr>
            <w:pStyle w:val="Indice1"/>
            <w:rPr>
              <w:rFonts w:ascii="Calibri" w:hAnsi="Calibri" w:eastAsia="" w:cs="" w:asciiTheme="minorHAnsi" w:cstheme="minorBidi" w:eastAsiaTheme="minorEastAsia" w:hAnsiTheme="minorHAnsi"/>
              <w:caps w:val="false"/>
              <w:smallCaps w:val="false"/>
            </w:rPr>
          </w:pPr>
          <w:r>
            <w:fldChar w:fldCharType="begin"/>
          </w:r>
          <w:r>
            <w:rPr>
              <w:webHidden/>
              <w:rStyle w:val="Saltoaindice"/>
            </w:rPr>
            <w:instrText> TOC \z \o "1-3" \u \h</w:instrText>
          </w:r>
          <w:r>
            <w:rPr>
              <w:webHidden/>
              <w:rStyle w:val="Saltoaindice"/>
            </w:rPr>
            <w:fldChar w:fldCharType="separate"/>
          </w:r>
          <w:hyperlink w:anchor="_Toc152228328">
            <w:r>
              <w:rPr>
                <w:webHidden/>
                <w:rStyle w:val="Saltoaindice"/>
              </w:rPr>
              <w:t>1.</w:t>
            </w:r>
            <w:r>
              <w:rPr>
                <w:rStyle w:val="Saltoaindice"/>
                <w:rFonts w:eastAsia="" w:cs="" w:cstheme="minorBidi" w:eastAsiaTheme="minorEastAsia"/>
                <w:caps w:val="false"/>
                <w:smallCaps w:val="false"/>
              </w:rPr>
              <w:tab/>
            </w:r>
            <w:r>
              <w:rPr>
                <w:rStyle w:val="Saltoaindice"/>
                <w:rFonts w:cs="Calibri" w:cstheme="minorHAnsi"/>
              </w:rPr>
              <w:t>CONTESTO PANDEMIA SARS-COV2</w:t>
            </w:r>
            <w:r>
              <w:rPr>
                <w:webHidden/>
              </w:rPr>
              <w:fldChar w:fldCharType="begin"/>
            </w:r>
            <w:r>
              <w:rPr>
                <w:webHidden/>
              </w:rPr>
              <w:instrText>PAGEREF _Toc152228328 \h</w:instrText>
            </w:r>
            <w:r>
              <w:rPr>
                <w:webHidden/>
              </w:rPr>
              <w:fldChar w:fldCharType="separate"/>
            </w:r>
            <w:r>
              <w:rPr>
                <w:rStyle w:val="Saltoaindice"/>
                <w:vanish w:val="false"/>
              </w:rPr>
              <w:tab/>
              <w:t>3</w:t>
            </w:r>
            <w:r>
              <w:rPr>
                <w:webHidden/>
              </w:rPr>
              <w:fldChar w:fldCharType="end"/>
            </w:r>
          </w:hyperlink>
        </w:p>
        <w:p>
          <w:pPr>
            <w:pStyle w:val="Indice1"/>
            <w:rPr>
              <w:rFonts w:ascii="Calibri" w:hAnsi="Calibri" w:eastAsia="" w:cs="" w:asciiTheme="minorHAnsi" w:cstheme="minorBidi" w:eastAsiaTheme="minorEastAsia" w:hAnsiTheme="minorHAnsi"/>
              <w:caps w:val="false"/>
              <w:smallCaps w:val="false"/>
            </w:rPr>
          </w:pPr>
          <w:hyperlink w:anchor="_Toc152228329">
            <w:r>
              <w:rPr>
                <w:webHidden/>
                <w:rStyle w:val="Saltoaindice"/>
              </w:rPr>
              <w:t>2.</w:t>
            </w:r>
            <w:r>
              <w:rPr>
                <w:rStyle w:val="Saltoaindice"/>
                <w:rFonts w:eastAsia="" w:cs="" w:cstheme="minorBidi" w:eastAsiaTheme="minorEastAsia"/>
                <w:caps w:val="false"/>
                <w:smallCaps w:val="false"/>
              </w:rPr>
              <w:tab/>
            </w:r>
            <w:r>
              <w:rPr>
                <w:rStyle w:val="Saltoaindice"/>
              </w:rPr>
              <w:t>LE ATTIVITÀ DELL’AZIENDA MISURATE TRAMITE IL SISTEMA REGIONALE DI VALUTAZIONE DELLE PERFORMANCE</w:t>
            </w:r>
            <w:r>
              <w:rPr>
                <w:webHidden/>
              </w:rPr>
              <w:fldChar w:fldCharType="begin"/>
            </w:r>
            <w:r>
              <w:rPr>
                <w:webHidden/>
              </w:rPr>
              <w:instrText>PAGEREF _Toc152228329 \h</w:instrText>
            </w:r>
            <w:r>
              <w:rPr>
                <w:webHidden/>
              </w:rPr>
              <w:fldChar w:fldCharType="separate"/>
            </w:r>
            <w:r>
              <w:rPr>
                <w:rStyle w:val="Saltoaindice"/>
                <w:vanish w:val="false"/>
              </w:rPr>
              <w:tab/>
              <w:t>5</w:t>
            </w:r>
            <w:r>
              <w:rPr>
                <w:webHidden/>
              </w:rPr>
              <w:fldChar w:fldCharType="end"/>
            </w:r>
          </w:hyperlink>
        </w:p>
        <w:p>
          <w:pPr>
            <w:pStyle w:val="Indice1"/>
            <w:rPr>
              <w:rFonts w:ascii="Calibri" w:hAnsi="Calibri" w:eastAsia="" w:cs="" w:asciiTheme="minorHAnsi" w:cstheme="minorBidi" w:eastAsiaTheme="minorEastAsia" w:hAnsiTheme="minorHAnsi"/>
              <w:caps w:val="false"/>
              <w:smallCaps w:val="false"/>
            </w:rPr>
          </w:pPr>
          <w:hyperlink w:anchor="_Toc152228330">
            <w:r>
              <w:rPr>
                <w:webHidden/>
                <w:rStyle w:val="Saltoaindice"/>
              </w:rPr>
              <w:t>2.1 Pronto Soccorso E 118</w:t>
            </w:r>
            <w:r>
              <w:rPr>
                <w:webHidden/>
              </w:rPr>
              <w:fldChar w:fldCharType="begin"/>
            </w:r>
            <w:r>
              <w:rPr>
                <w:webHidden/>
              </w:rPr>
              <w:instrText>PAGEREF _Toc152228330 \h</w:instrText>
            </w:r>
            <w:r>
              <w:rPr>
                <w:webHidden/>
              </w:rPr>
              <w:fldChar w:fldCharType="separate"/>
            </w:r>
            <w:r>
              <w:rPr>
                <w:rStyle w:val="Saltoaindice"/>
                <w:vanish w:val="false"/>
              </w:rPr>
              <w:tab/>
              <w:t>5</w:t>
            </w:r>
            <w:r>
              <w:rPr>
                <w:webHidden/>
              </w:rPr>
              <w:fldChar w:fldCharType="end"/>
            </w:r>
          </w:hyperlink>
        </w:p>
        <w:p>
          <w:pPr>
            <w:pStyle w:val="Indice1"/>
            <w:rPr>
              <w:rFonts w:ascii="Calibri" w:hAnsi="Calibri" w:eastAsia="" w:cs="" w:asciiTheme="minorHAnsi" w:cstheme="minorBidi" w:eastAsiaTheme="minorEastAsia" w:hAnsiTheme="minorHAnsi"/>
              <w:caps w:val="false"/>
              <w:smallCaps w:val="false"/>
            </w:rPr>
          </w:pPr>
          <w:hyperlink w:anchor="_Toc152228331">
            <w:r>
              <w:rPr>
                <w:webHidden/>
                <w:rStyle w:val="Saltoaindice"/>
              </w:rPr>
              <w:t>2.2 OSPEDALE</w:t>
            </w:r>
            <w:r>
              <w:rPr>
                <w:webHidden/>
              </w:rPr>
              <w:fldChar w:fldCharType="begin"/>
            </w:r>
            <w:r>
              <w:rPr>
                <w:webHidden/>
              </w:rPr>
              <w:instrText>PAGEREF _Toc152228331 \h</w:instrText>
            </w:r>
            <w:r>
              <w:rPr>
                <w:webHidden/>
              </w:rPr>
              <w:fldChar w:fldCharType="separate"/>
            </w:r>
            <w:r>
              <w:rPr>
                <w:rStyle w:val="Saltoaindice"/>
                <w:vanish w:val="false"/>
              </w:rPr>
              <w:tab/>
              <w:t>7</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32">
            <w:r>
              <w:rPr>
                <w:webHidden/>
                <w:rStyle w:val="Saltoaindice"/>
                <w:rFonts w:cs="Calibri" w:ascii="Calibri" w:hAnsi="Calibri"/>
              </w:rPr>
              <w:t>2.2.1 RICOVERI</w:t>
            </w:r>
            <w:r>
              <w:rPr>
                <w:webHidden/>
              </w:rPr>
              <w:fldChar w:fldCharType="begin"/>
            </w:r>
            <w:r>
              <w:rPr>
                <w:webHidden/>
              </w:rPr>
              <w:instrText>PAGEREF _Toc152228332 \h</w:instrText>
            </w:r>
            <w:r>
              <w:rPr>
                <w:webHidden/>
              </w:rPr>
              <w:fldChar w:fldCharType="separate"/>
            </w:r>
            <w:r>
              <w:rPr>
                <w:rStyle w:val="Saltoaindice"/>
                <w:vanish w:val="false"/>
              </w:rPr>
              <w:tab/>
              <w:t>7</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33">
            <w:r>
              <w:rPr>
                <w:webHidden/>
                <w:rStyle w:val="Saltoaindice"/>
                <w:rFonts w:ascii="Calibri" w:hAnsi="Calibri"/>
              </w:rPr>
              <w:t>2.2.2 RICOVERI MEDICI E CHIRURGICI</w:t>
            </w:r>
            <w:r>
              <w:rPr>
                <w:webHidden/>
              </w:rPr>
              <w:fldChar w:fldCharType="begin"/>
            </w:r>
            <w:r>
              <w:rPr>
                <w:webHidden/>
              </w:rPr>
              <w:instrText>PAGEREF _Toc152228333 \h</w:instrText>
            </w:r>
            <w:r>
              <w:rPr>
                <w:webHidden/>
              </w:rPr>
              <w:fldChar w:fldCharType="separate"/>
            </w:r>
            <w:r>
              <w:rPr>
                <w:rStyle w:val="Saltoaindice"/>
                <w:vanish w:val="false"/>
              </w:rPr>
              <w:tab/>
              <w:t>10</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34">
            <w:r>
              <w:rPr>
                <w:webHidden/>
                <w:rStyle w:val="Saltoaindice"/>
                <w:rFonts w:ascii="Calibri" w:hAnsi="Calibri"/>
              </w:rPr>
              <w:t>2.2.3 ELENCO DEI PRIMI RICOVERI PER VOLUMI</w:t>
            </w:r>
            <w:r>
              <w:rPr>
                <w:webHidden/>
              </w:rPr>
              <w:fldChar w:fldCharType="begin"/>
            </w:r>
            <w:r>
              <w:rPr>
                <w:webHidden/>
              </w:rPr>
              <w:instrText>PAGEREF _Toc152228334 \h</w:instrText>
            </w:r>
            <w:r>
              <w:rPr>
                <w:webHidden/>
              </w:rPr>
              <w:fldChar w:fldCharType="separate"/>
            </w:r>
            <w:r>
              <w:rPr>
                <w:rStyle w:val="Saltoaindice"/>
                <w:vanish w:val="false"/>
              </w:rPr>
              <w:tab/>
              <w:t>10</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35">
            <w:r>
              <w:rPr>
                <w:webHidden/>
                <w:rStyle w:val="Saltoaindice"/>
                <w:rFonts w:cs="Calibri" w:ascii="Calibri" w:hAnsi="Calibri"/>
              </w:rPr>
              <w:t>2.2.4 INDICATORI CHIRURGIA ONCOLOGICA</w:t>
            </w:r>
            <w:r>
              <w:rPr>
                <w:webHidden/>
              </w:rPr>
              <w:fldChar w:fldCharType="begin"/>
            </w:r>
            <w:r>
              <w:rPr>
                <w:webHidden/>
              </w:rPr>
              <w:instrText>PAGEREF _Toc152228335 \h</w:instrText>
            </w:r>
            <w:r>
              <w:rPr>
                <w:webHidden/>
              </w:rPr>
              <w:fldChar w:fldCharType="separate"/>
            </w:r>
            <w:r>
              <w:rPr>
                <w:rStyle w:val="Saltoaindice"/>
                <w:vanish w:val="false"/>
              </w:rPr>
              <w:tab/>
              <w:t>11</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36">
            <w:r>
              <w:rPr>
                <w:webHidden/>
                <w:rStyle w:val="Saltoaindice"/>
                <w:rFonts w:cs="Calibri" w:ascii="Calibri" w:hAnsi="Calibri"/>
              </w:rPr>
              <w:t>2.2.5 INDICATORI CHIRURGIA GENERALE</w:t>
            </w:r>
            <w:r>
              <w:rPr>
                <w:webHidden/>
              </w:rPr>
              <w:fldChar w:fldCharType="begin"/>
            </w:r>
            <w:r>
              <w:rPr>
                <w:webHidden/>
              </w:rPr>
              <w:instrText>PAGEREF _Toc152228336 \h</w:instrText>
            </w:r>
            <w:r>
              <w:rPr>
                <w:webHidden/>
              </w:rPr>
              <w:fldChar w:fldCharType="separate"/>
            </w:r>
            <w:r>
              <w:rPr>
                <w:rStyle w:val="Saltoaindice"/>
                <w:vanish w:val="false"/>
              </w:rPr>
              <w:tab/>
              <w:t>12</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37">
            <w:r>
              <w:rPr>
                <w:webHidden/>
                <w:rStyle w:val="Saltoaindice"/>
                <w:rFonts w:cs="Calibri" w:ascii="Calibri" w:hAnsi="Calibri"/>
              </w:rPr>
              <w:t>2.2.6 CHIRURGIA ORTOPEDICA</w:t>
            </w:r>
            <w:r>
              <w:rPr>
                <w:webHidden/>
              </w:rPr>
              <w:fldChar w:fldCharType="begin"/>
            </w:r>
            <w:r>
              <w:rPr>
                <w:webHidden/>
              </w:rPr>
              <w:instrText>PAGEREF _Toc152228337 \h</w:instrText>
            </w:r>
            <w:r>
              <w:rPr>
                <w:webHidden/>
              </w:rPr>
              <w:fldChar w:fldCharType="separate"/>
            </w:r>
            <w:r>
              <w:rPr>
                <w:rStyle w:val="Saltoaindice"/>
                <w:vanish w:val="false"/>
              </w:rPr>
              <w:tab/>
              <w:t>13</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38">
            <w:r>
              <w:rPr>
                <w:webHidden/>
                <w:rStyle w:val="Saltoaindice"/>
                <w:rFonts w:cs="Calibri" w:ascii="Calibri" w:hAnsi="Calibri"/>
              </w:rPr>
              <w:t>2.2.7 DONAZIONI</w:t>
            </w:r>
            <w:r>
              <w:rPr>
                <w:webHidden/>
              </w:rPr>
              <w:fldChar w:fldCharType="begin"/>
            </w:r>
            <w:r>
              <w:rPr>
                <w:webHidden/>
              </w:rPr>
              <w:instrText>PAGEREF _Toc152228338 \h</w:instrText>
            </w:r>
            <w:r>
              <w:rPr>
                <w:webHidden/>
              </w:rPr>
              <w:fldChar w:fldCharType="separate"/>
            </w:r>
            <w:r>
              <w:rPr>
                <w:rStyle w:val="Saltoaindice"/>
                <w:vanish w:val="false"/>
              </w:rPr>
              <w:tab/>
              <w:t>13</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39">
            <w:r>
              <w:rPr>
                <w:webHidden/>
                <w:rStyle w:val="Saltoaindice"/>
                <w:rFonts w:cs="Calibri" w:ascii="Calibri" w:hAnsi="Calibri"/>
              </w:rPr>
              <w:t>2.2.8 MATERNO-INFANTILE</w:t>
            </w:r>
            <w:r>
              <w:rPr>
                <w:webHidden/>
              </w:rPr>
              <w:fldChar w:fldCharType="begin"/>
            </w:r>
            <w:r>
              <w:rPr>
                <w:webHidden/>
              </w:rPr>
              <w:instrText>PAGEREF _Toc152228339 \h</w:instrText>
            </w:r>
            <w:r>
              <w:rPr>
                <w:webHidden/>
              </w:rPr>
              <w:fldChar w:fldCharType="separate"/>
            </w:r>
            <w:r>
              <w:rPr>
                <w:rStyle w:val="Saltoaindice"/>
                <w:vanish w:val="false"/>
              </w:rPr>
              <w:tab/>
              <w:t>13</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40">
            <w:r>
              <w:rPr>
                <w:webHidden/>
                <w:rStyle w:val="Saltoaindice"/>
                <w:rFonts w:cs="Calibri" w:cstheme="minorHAnsi"/>
                <w:kern w:val="2"/>
              </w:rPr>
              <w:t>2.3 PREVENZIONE</w:t>
            </w:r>
            <w:r>
              <w:rPr>
                <w:webHidden/>
              </w:rPr>
              <w:fldChar w:fldCharType="begin"/>
            </w:r>
            <w:r>
              <w:rPr>
                <w:webHidden/>
              </w:rPr>
              <w:instrText>PAGEREF _Toc152228340 \h</w:instrText>
            </w:r>
            <w:r>
              <w:rPr>
                <w:webHidden/>
              </w:rPr>
              <w:fldChar w:fldCharType="separate"/>
            </w:r>
            <w:r>
              <w:rPr>
                <w:rStyle w:val="Saltoaindice"/>
                <w:vanish w:val="false"/>
              </w:rPr>
              <w:tab/>
              <w:t>14</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41">
            <w:r>
              <w:rPr>
                <w:webHidden/>
                <w:rStyle w:val="Saltoaindice"/>
                <w:rFonts w:cs="Calibri" w:ascii="Calibri" w:hAnsi="Calibri"/>
              </w:rPr>
              <w:t>2.3.1 VACCINAZIONI</w:t>
            </w:r>
            <w:r>
              <w:rPr>
                <w:webHidden/>
              </w:rPr>
              <w:fldChar w:fldCharType="begin"/>
            </w:r>
            <w:r>
              <w:rPr>
                <w:webHidden/>
              </w:rPr>
              <w:instrText>PAGEREF _Toc152228341 \h</w:instrText>
            </w:r>
            <w:r>
              <w:rPr>
                <w:webHidden/>
              </w:rPr>
              <w:fldChar w:fldCharType="separate"/>
            </w:r>
            <w:r>
              <w:rPr>
                <w:rStyle w:val="Saltoaindice"/>
                <w:vanish w:val="false"/>
              </w:rPr>
              <w:tab/>
              <w:t>14</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42">
            <w:r>
              <w:rPr>
                <w:webHidden/>
                <w:rStyle w:val="Saltoaindice"/>
                <w:rFonts w:cs="Calibri" w:ascii="Calibri" w:hAnsi="Calibri"/>
              </w:rPr>
              <w:t>2.3.2 SCREENING ONCOLOGICI</w:t>
            </w:r>
            <w:r>
              <w:rPr>
                <w:webHidden/>
              </w:rPr>
              <w:fldChar w:fldCharType="begin"/>
            </w:r>
            <w:r>
              <w:rPr>
                <w:webHidden/>
              </w:rPr>
              <w:instrText>PAGEREF _Toc152228342 \h</w:instrText>
            </w:r>
            <w:r>
              <w:rPr>
                <w:webHidden/>
              </w:rPr>
              <w:fldChar w:fldCharType="separate"/>
            </w:r>
            <w:r>
              <w:rPr>
                <w:rStyle w:val="Saltoaindice"/>
                <w:vanish w:val="false"/>
              </w:rPr>
              <w:tab/>
              <w:t>14</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43">
            <w:r>
              <w:rPr>
                <w:webHidden/>
                <w:rStyle w:val="Saltoaindice"/>
                <w:rFonts w:cs="Calibri" w:ascii="Calibri" w:hAnsi="Calibri"/>
              </w:rPr>
              <w:t>2.3.3 PISLL</w:t>
            </w:r>
            <w:r>
              <w:rPr>
                <w:webHidden/>
              </w:rPr>
              <w:fldChar w:fldCharType="begin"/>
            </w:r>
            <w:r>
              <w:rPr>
                <w:webHidden/>
              </w:rPr>
              <w:instrText>PAGEREF _Toc152228343 \h</w:instrText>
            </w:r>
            <w:r>
              <w:rPr>
                <w:webHidden/>
              </w:rPr>
              <w:fldChar w:fldCharType="separate"/>
            </w:r>
            <w:r>
              <w:rPr>
                <w:rStyle w:val="Saltoaindice"/>
                <w:vanish w:val="false"/>
              </w:rPr>
              <w:tab/>
              <w:t>14</w:t>
            </w:r>
            <w:r>
              <w:rPr>
                <w:webHidden/>
              </w:rPr>
              <w:fldChar w:fldCharType="end"/>
            </w:r>
          </w:hyperlink>
        </w:p>
        <w:p>
          <w:pPr>
            <w:pStyle w:val="Indice1"/>
            <w:rPr>
              <w:rFonts w:ascii="Calibri" w:hAnsi="Calibri" w:eastAsia="" w:cs="" w:asciiTheme="minorHAnsi" w:cstheme="minorBidi" w:eastAsiaTheme="minorEastAsia" w:hAnsiTheme="minorHAnsi"/>
              <w:caps w:val="false"/>
              <w:smallCaps w:val="false"/>
            </w:rPr>
          </w:pPr>
          <w:hyperlink w:anchor="_Toc152228344">
            <w:r>
              <w:rPr>
                <w:webHidden/>
                <w:rStyle w:val="Saltoaindice"/>
              </w:rPr>
              <w:t>2.4 TERRITORIO</w:t>
            </w:r>
            <w:r>
              <w:rPr>
                <w:webHidden/>
              </w:rPr>
              <w:fldChar w:fldCharType="begin"/>
            </w:r>
            <w:r>
              <w:rPr>
                <w:webHidden/>
              </w:rPr>
              <w:instrText>PAGEREF _Toc152228344 \h</w:instrText>
            </w:r>
            <w:r>
              <w:rPr>
                <w:webHidden/>
              </w:rPr>
              <w:fldChar w:fldCharType="separate"/>
            </w:r>
            <w:r>
              <w:rPr>
                <w:rStyle w:val="Saltoaindice"/>
                <w:vanish w:val="false"/>
              </w:rPr>
              <w:tab/>
              <w:t>15</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45">
            <w:r>
              <w:rPr>
                <w:webHidden/>
                <w:rStyle w:val="Saltoaindice"/>
                <w:rFonts w:cs="Calibri" w:ascii="Calibri" w:hAnsi="Calibri"/>
              </w:rPr>
              <w:t>2.4.1 CURE PRIMARIE</w:t>
            </w:r>
            <w:r>
              <w:rPr>
                <w:webHidden/>
              </w:rPr>
              <w:fldChar w:fldCharType="begin"/>
            </w:r>
            <w:r>
              <w:rPr>
                <w:webHidden/>
              </w:rPr>
              <w:instrText>PAGEREF _Toc152228345 \h</w:instrText>
            </w:r>
            <w:r>
              <w:rPr>
                <w:webHidden/>
              </w:rPr>
              <w:fldChar w:fldCharType="separate"/>
            </w:r>
            <w:r>
              <w:rPr>
                <w:rStyle w:val="Saltoaindice"/>
                <w:vanish w:val="false"/>
              </w:rPr>
              <w:tab/>
              <w:t>15</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46">
            <w:r>
              <w:rPr>
                <w:webHidden/>
                <w:rStyle w:val="Saltoaindice"/>
                <w:rFonts w:cs="Calibri" w:ascii="Calibri" w:hAnsi="Calibri"/>
              </w:rPr>
              <w:t>2.4.2 CONTINUITÀ OSPEDALE-TERRITORIO</w:t>
            </w:r>
            <w:r>
              <w:rPr>
                <w:webHidden/>
              </w:rPr>
              <w:fldChar w:fldCharType="begin"/>
            </w:r>
            <w:r>
              <w:rPr>
                <w:webHidden/>
              </w:rPr>
              <w:instrText>PAGEREF _Toc152228346 \h</w:instrText>
            </w:r>
            <w:r>
              <w:rPr>
                <w:webHidden/>
              </w:rPr>
              <w:fldChar w:fldCharType="separate"/>
            </w:r>
            <w:r>
              <w:rPr>
                <w:rStyle w:val="Saltoaindice"/>
                <w:vanish w:val="false"/>
              </w:rPr>
              <w:tab/>
              <w:t>16</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47">
            <w:r>
              <w:rPr>
                <w:webHidden/>
                <w:rStyle w:val="Saltoaindice"/>
                <w:rFonts w:cs="Calibri" w:ascii="Calibri" w:hAnsi="Calibri"/>
              </w:rPr>
              <w:t>2.4.3 CURE INTERMEDIE</w:t>
            </w:r>
            <w:r>
              <w:rPr>
                <w:webHidden/>
              </w:rPr>
              <w:fldChar w:fldCharType="begin"/>
            </w:r>
            <w:r>
              <w:rPr>
                <w:webHidden/>
              </w:rPr>
              <w:instrText>PAGEREF _Toc152228347 \h</w:instrText>
            </w:r>
            <w:r>
              <w:rPr>
                <w:webHidden/>
              </w:rPr>
              <w:fldChar w:fldCharType="separate"/>
            </w:r>
            <w:r>
              <w:rPr>
                <w:rStyle w:val="Saltoaindice"/>
                <w:vanish w:val="false"/>
              </w:rPr>
              <w:tab/>
              <w:t>18</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48">
            <w:r>
              <w:rPr>
                <w:webHidden/>
                <w:rStyle w:val="Saltoaindice"/>
                <w:rFonts w:cs="Calibri" w:ascii="Calibri" w:hAnsi="Calibri"/>
              </w:rPr>
              <w:t>2.4.4 ASSISTENZA TERRITORIALE – PRESTAZIONI AMBULATORIALI</w:t>
            </w:r>
            <w:r>
              <w:rPr>
                <w:webHidden/>
              </w:rPr>
              <w:fldChar w:fldCharType="begin"/>
            </w:r>
            <w:r>
              <w:rPr>
                <w:webHidden/>
              </w:rPr>
              <w:instrText>PAGEREF _Toc152228348 \h</w:instrText>
            </w:r>
            <w:r>
              <w:rPr>
                <w:webHidden/>
              </w:rPr>
              <w:fldChar w:fldCharType="separate"/>
            </w:r>
            <w:r>
              <w:rPr>
                <w:rStyle w:val="Saltoaindice"/>
                <w:vanish w:val="false"/>
              </w:rPr>
              <w:tab/>
              <w:t>20</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49">
            <w:r>
              <w:rPr>
                <w:webHidden/>
                <w:rStyle w:val="Saltoaindice"/>
                <w:rFonts w:cs="Calibri" w:ascii="Calibri" w:hAnsi="Calibri"/>
              </w:rPr>
              <w:t>2.4.5 TEMPI DI ATTESA PRESTAZIONI AMBULATORIALI</w:t>
            </w:r>
            <w:r>
              <w:rPr>
                <w:webHidden/>
              </w:rPr>
              <w:fldChar w:fldCharType="begin"/>
            </w:r>
            <w:r>
              <w:rPr>
                <w:webHidden/>
              </w:rPr>
              <w:instrText>PAGEREF _Toc152228349 \h</w:instrText>
            </w:r>
            <w:r>
              <w:rPr>
                <w:webHidden/>
              </w:rPr>
              <w:fldChar w:fldCharType="separate"/>
            </w:r>
            <w:r>
              <w:rPr>
                <w:rStyle w:val="Saltoaindice"/>
                <w:vanish w:val="false"/>
              </w:rPr>
              <w:tab/>
              <w:t>25</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50">
            <w:r>
              <w:rPr>
                <w:webHidden/>
                <w:rStyle w:val="Saltoaindice"/>
                <w:rFonts w:cs="Calibri" w:ascii="Calibri" w:hAnsi="Calibri"/>
              </w:rPr>
              <w:t>2.4.6 TEMPI DI ATTESA CHIRURGIA ELETTIVA</w:t>
            </w:r>
            <w:r>
              <w:rPr>
                <w:webHidden/>
              </w:rPr>
              <w:fldChar w:fldCharType="begin"/>
            </w:r>
            <w:r>
              <w:rPr>
                <w:webHidden/>
              </w:rPr>
              <w:instrText>PAGEREF _Toc152228350 \h</w:instrText>
            </w:r>
            <w:r>
              <w:rPr>
                <w:webHidden/>
              </w:rPr>
              <w:fldChar w:fldCharType="separate"/>
            </w:r>
            <w:r>
              <w:rPr>
                <w:rStyle w:val="Saltoaindice"/>
                <w:vanish w:val="false"/>
              </w:rPr>
              <w:tab/>
              <w:t>27</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51">
            <w:r>
              <w:rPr>
                <w:webHidden/>
                <w:rStyle w:val="Saltoaindice"/>
                <w:rFonts w:cs="Calibri" w:ascii="Calibri" w:hAnsi="Calibri"/>
              </w:rPr>
              <w:t>2.4.7 RICOGNIZIONE UTILIZZO BLOCCHI OPERATORI ASL TC</w:t>
            </w:r>
            <w:r>
              <w:rPr>
                <w:webHidden/>
              </w:rPr>
              <w:fldChar w:fldCharType="begin"/>
            </w:r>
            <w:r>
              <w:rPr>
                <w:webHidden/>
              </w:rPr>
              <w:instrText>PAGEREF _Toc152228351 \h</w:instrText>
            </w:r>
            <w:r>
              <w:rPr>
                <w:webHidden/>
              </w:rPr>
              <w:fldChar w:fldCharType="separate"/>
            </w:r>
            <w:r>
              <w:rPr>
                <w:rStyle w:val="Saltoaindice"/>
                <w:vanish w:val="false"/>
              </w:rPr>
              <w:tab/>
              <w:t>30</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52">
            <w:r>
              <w:rPr>
                <w:webHidden/>
                <w:rStyle w:val="Saltoaindice"/>
                <w:rFonts w:cs="Calibri" w:ascii="Calibri" w:hAnsi="Calibri"/>
              </w:rPr>
              <w:t>2.4.8 RIABILITAZIONE</w:t>
            </w:r>
            <w:r>
              <w:rPr>
                <w:webHidden/>
              </w:rPr>
              <w:fldChar w:fldCharType="begin"/>
            </w:r>
            <w:r>
              <w:rPr>
                <w:webHidden/>
              </w:rPr>
              <w:instrText>PAGEREF _Toc152228352 \h</w:instrText>
            </w:r>
            <w:r>
              <w:rPr>
                <w:webHidden/>
              </w:rPr>
              <w:fldChar w:fldCharType="separate"/>
            </w:r>
            <w:r>
              <w:rPr>
                <w:rStyle w:val="Saltoaindice"/>
                <w:vanish w:val="false"/>
              </w:rPr>
              <w:tab/>
              <w:t>33</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53">
            <w:r>
              <w:rPr>
                <w:webHidden/>
                <w:rStyle w:val="Saltoaindice"/>
                <w:rFonts w:cs="Calibri" w:ascii="Calibri" w:hAnsi="Calibri"/>
              </w:rPr>
              <w:t>2.4.9 SALUTE MENTALE</w:t>
            </w:r>
            <w:r>
              <w:rPr>
                <w:webHidden/>
              </w:rPr>
              <w:fldChar w:fldCharType="begin"/>
            </w:r>
            <w:r>
              <w:rPr>
                <w:webHidden/>
              </w:rPr>
              <w:instrText>PAGEREF _Toc152228353 \h</w:instrText>
            </w:r>
            <w:r>
              <w:rPr>
                <w:webHidden/>
              </w:rPr>
              <w:fldChar w:fldCharType="separate"/>
            </w:r>
            <w:r>
              <w:rPr>
                <w:rStyle w:val="Saltoaindice"/>
                <w:vanish w:val="false"/>
              </w:rPr>
              <w:tab/>
              <w:t>34</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54">
            <w:r>
              <w:rPr>
                <w:webHidden/>
                <w:rStyle w:val="Saltoaindice"/>
                <w:rFonts w:cs="Calibri" w:ascii="Calibri" w:hAnsi="Calibri"/>
              </w:rPr>
              <w:t>2.4.10 LA PRESA IN CARICO INTEGRATA DI ANZIANI NON AUTOSUFFICIENTI</w:t>
            </w:r>
            <w:r>
              <w:rPr>
                <w:webHidden/>
              </w:rPr>
              <w:fldChar w:fldCharType="begin"/>
            </w:r>
            <w:r>
              <w:rPr>
                <w:webHidden/>
              </w:rPr>
              <w:instrText>PAGEREF _Toc152228354 \h</w:instrText>
            </w:r>
            <w:r>
              <w:rPr>
                <w:webHidden/>
              </w:rPr>
              <w:fldChar w:fldCharType="separate"/>
            </w:r>
            <w:r>
              <w:rPr>
                <w:rStyle w:val="Saltoaindice"/>
                <w:vanish w:val="false"/>
              </w:rPr>
              <w:tab/>
              <w:t>35</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55">
            <w:r>
              <w:rPr>
                <w:webHidden/>
                <w:rStyle w:val="Saltoaindice"/>
                <w:rFonts w:cs="Calibri" w:ascii="Calibri" w:hAnsi="Calibri"/>
              </w:rPr>
              <w:t>2.4.11 ASSISTENZA FINE VITA</w:t>
            </w:r>
            <w:r>
              <w:rPr>
                <w:webHidden/>
              </w:rPr>
              <w:fldChar w:fldCharType="begin"/>
            </w:r>
            <w:r>
              <w:rPr>
                <w:webHidden/>
              </w:rPr>
              <w:instrText>PAGEREF _Toc152228355 \h</w:instrText>
            </w:r>
            <w:r>
              <w:rPr>
                <w:webHidden/>
              </w:rPr>
              <w:fldChar w:fldCharType="separate"/>
            </w:r>
            <w:r>
              <w:rPr>
                <w:rStyle w:val="Saltoaindice"/>
                <w:vanish w:val="false"/>
              </w:rPr>
              <w:tab/>
              <w:t>39</w:t>
            </w:r>
            <w:r>
              <w:rPr>
                <w:webHidden/>
              </w:rPr>
              <w:fldChar w:fldCharType="end"/>
            </w:r>
          </w:hyperlink>
        </w:p>
        <w:p>
          <w:pPr>
            <w:pStyle w:val="Indice1"/>
            <w:rPr>
              <w:rFonts w:ascii="Calibri" w:hAnsi="Calibri" w:eastAsia="" w:cs="" w:asciiTheme="minorHAnsi" w:cstheme="minorBidi" w:eastAsiaTheme="minorEastAsia" w:hAnsiTheme="minorHAnsi"/>
              <w:caps w:val="false"/>
              <w:smallCaps w:val="false"/>
            </w:rPr>
          </w:pPr>
          <w:hyperlink w:anchor="_Toc152228356">
            <w:r>
              <w:rPr>
                <w:webHidden/>
                <w:rStyle w:val="Saltoaindice"/>
              </w:rPr>
              <w:t>3.</w:t>
            </w:r>
            <w:r>
              <w:rPr>
                <w:rStyle w:val="Saltoaindice"/>
                <w:rFonts w:eastAsia="" w:cs="" w:cstheme="minorBidi" w:eastAsiaTheme="minorEastAsia"/>
                <w:caps w:val="false"/>
                <w:smallCaps w:val="false"/>
              </w:rPr>
              <w:tab/>
            </w:r>
            <w:r>
              <w:rPr>
                <w:rStyle w:val="Saltoaindice"/>
              </w:rPr>
              <w:t>ASSISTENZA FARMACEUTICA</w:t>
            </w:r>
            <w:r>
              <w:rPr>
                <w:webHidden/>
              </w:rPr>
              <w:fldChar w:fldCharType="begin"/>
            </w:r>
            <w:r>
              <w:rPr>
                <w:webHidden/>
              </w:rPr>
              <w:instrText>PAGEREF _Toc152228356 \h</w:instrText>
            </w:r>
            <w:r>
              <w:rPr>
                <w:webHidden/>
              </w:rPr>
              <w:fldChar w:fldCharType="separate"/>
            </w:r>
            <w:r>
              <w:rPr>
                <w:rStyle w:val="Saltoaindice"/>
                <w:vanish w:val="false"/>
              </w:rPr>
              <w:tab/>
              <w:t>41</w:t>
            </w:r>
            <w:r>
              <w:rPr>
                <w:webHidden/>
              </w:rPr>
              <w:fldChar w:fldCharType="end"/>
            </w:r>
          </w:hyperlink>
        </w:p>
        <w:p>
          <w:pPr>
            <w:pStyle w:val="Indice1"/>
            <w:rPr>
              <w:rFonts w:ascii="Calibri" w:hAnsi="Calibri" w:eastAsia="" w:cs="" w:asciiTheme="minorHAnsi" w:cstheme="minorBidi" w:eastAsiaTheme="minorEastAsia" w:hAnsiTheme="minorHAnsi"/>
              <w:caps w:val="false"/>
              <w:smallCaps w:val="false"/>
            </w:rPr>
          </w:pPr>
          <w:hyperlink w:anchor="_Toc152228357">
            <w:r>
              <w:rPr>
                <w:webHidden/>
                <w:rStyle w:val="Saltoaindice"/>
              </w:rPr>
              <w:t>4.</w:t>
            </w:r>
            <w:r>
              <w:rPr>
                <w:rStyle w:val="Saltoaindice"/>
                <w:rFonts w:eastAsia="" w:cs="" w:cstheme="minorBidi" w:eastAsiaTheme="minorEastAsia"/>
                <w:caps w:val="false"/>
                <w:smallCaps w:val="false"/>
              </w:rPr>
              <w:tab/>
            </w:r>
            <w:r>
              <w:rPr>
                <w:rStyle w:val="Saltoaindice"/>
              </w:rPr>
              <w:t>SERVIZI SOCIALI ED INTEGRAZIONE SOCIASANITARIA</w:t>
            </w:r>
            <w:r>
              <w:rPr>
                <w:webHidden/>
              </w:rPr>
              <w:fldChar w:fldCharType="begin"/>
            </w:r>
            <w:r>
              <w:rPr>
                <w:webHidden/>
              </w:rPr>
              <w:instrText>PAGEREF _Toc152228357 \h</w:instrText>
            </w:r>
            <w:r>
              <w:rPr>
                <w:webHidden/>
              </w:rPr>
              <w:fldChar w:fldCharType="separate"/>
            </w:r>
            <w:r>
              <w:rPr>
                <w:rStyle w:val="Saltoaindice"/>
                <w:vanish w:val="false"/>
              </w:rPr>
              <w:tab/>
              <w:t>43</w:t>
            </w:r>
            <w:r>
              <w:rPr>
                <w:webHidden/>
              </w:rPr>
              <w:fldChar w:fldCharType="end"/>
            </w:r>
          </w:hyperlink>
        </w:p>
        <w:p>
          <w:pPr>
            <w:pStyle w:val="Indice1"/>
            <w:rPr>
              <w:rFonts w:ascii="Calibri" w:hAnsi="Calibri" w:eastAsia="" w:cs="" w:asciiTheme="minorHAnsi" w:cstheme="minorBidi" w:eastAsiaTheme="minorEastAsia" w:hAnsiTheme="minorHAnsi"/>
              <w:caps w:val="false"/>
              <w:smallCaps w:val="false"/>
            </w:rPr>
          </w:pPr>
          <w:hyperlink w:anchor="_Toc152228358">
            <w:r>
              <w:rPr>
                <w:webHidden/>
                <w:rStyle w:val="Saltoaindice"/>
              </w:rPr>
              <w:t>5.</w:t>
            </w:r>
            <w:r>
              <w:rPr>
                <w:rStyle w:val="Saltoaindice"/>
                <w:rFonts w:eastAsia="" w:cs="" w:cstheme="minorBidi" w:eastAsiaTheme="minorEastAsia"/>
                <w:caps w:val="false"/>
                <w:smallCaps w:val="false"/>
              </w:rPr>
              <w:tab/>
            </w:r>
            <w:r>
              <w:rPr>
                <w:rStyle w:val="Saltoaindice"/>
              </w:rPr>
              <w:t>SISTEMA DI VALUTAZIONE DELLA REGIONE TOSCANA: RISULTATI DELLA PERFORMANCE DELL’AZIENDA USL TOSCANA CENTRO</w:t>
            </w:r>
            <w:r>
              <w:rPr>
                <w:webHidden/>
              </w:rPr>
              <w:fldChar w:fldCharType="begin"/>
            </w:r>
            <w:r>
              <w:rPr>
                <w:webHidden/>
              </w:rPr>
              <w:instrText>PAGEREF _Toc152228358 \h</w:instrText>
            </w:r>
            <w:r>
              <w:rPr>
                <w:webHidden/>
              </w:rPr>
              <w:fldChar w:fldCharType="separate"/>
            </w:r>
            <w:r>
              <w:rPr>
                <w:rStyle w:val="Saltoaindice"/>
                <w:vanish w:val="false"/>
              </w:rPr>
              <w:tab/>
              <w:t>47</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59">
            <w:r>
              <w:rPr>
                <w:webHidden/>
                <w:rStyle w:val="Saltoaindice"/>
                <w:rFonts w:cs="Calibri" w:ascii="Calibri" w:hAnsi="Calibri"/>
              </w:rPr>
              <w:t>5.1 BERSAGLI</w:t>
            </w:r>
            <w:r>
              <w:rPr>
                <w:webHidden/>
              </w:rPr>
              <w:fldChar w:fldCharType="begin"/>
            </w:r>
            <w:r>
              <w:rPr>
                <w:webHidden/>
              </w:rPr>
              <w:instrText>PAGEREF _Toc152228359 \h</w:instrText>
            </w:r>
            <w:r>
              <w:rPr>
                <w:webHidden/>
              </w:rPr>
              <w:fldChar w:fldCharType="separate"/>
            </w:r>
            <w:r>
              <w:rPr>
                <w:rStyle w:val="Saltoaindice"/>
                <w:vanish w:val="false"/>
              </w:rPr>
              <w:tab/>
              <w:t>47</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60">
            <w:r>
              <w:rPr>
                <w:webHidden/>
                <w:rStyle w:val="Saltoaindice"/>
                <w:rFonts w:cs="Calibri" w:ascii="Calibri" w:hAnsi="Calibri"/>
              </w:rPr>
              <w:t>5.2 ESITI DELLE CURE</w:t>
            </w:r>
            <w:r>
              <w:rPr>
                <w:webHidden/>
              </w:rPr>
              <w:fldChar w:fldCharType="begin"/>
            </w:r>
            <w:r>
              <w:rPr>
                <w:webHidden/>
              </w:rPr>
              <w:instrText>PAGEREF _Toc152228360 \h</w:instrText>
            </w:r>
            <w:r>
              <w:rPr>
                <w:webHidden/>
              </w:rPr>
              <w:fldChar w:fldCharType="separate"/>
            </w:r>
            <w:r>
              <w:rPr>
                <w:rStyle w:val="Saltoaindice"/>
                <w:vanish w:val="false"/>
              </w:rPr>
              <w:tab/>
              <w:t>48</w:t>
            </w:r>
            <w:r>
              <w:rPr>
                <w:webHidden/>
              </w:rPr>
              <w:fldChar w:fldCharType="end"/>
            </w:r>
          </w:hyperlink>
        </w:p>
        <w:p>
          <w:pPr>
            <w:pStyle w:val="Indice1"/>
            <w:rPr>
              <w:rFonts w:ascii="Calibri" w:hAnsi="Calibri" w:eastAsia="" w:cs="" w:asciiTheme="minorHAnsi" w:cstheme="minorBidi" w:eastAsiaTheme="minorEastAsia" w:hAnsiTheme="minorHAnsi"/>
              <w:caps w:val="false"/>
              <w:smallCaps w:val="false"/>
            </w:rPr>
          </w:pPr>
          <w:hyperlink w:anchor="_Toc152228361">
            <w:r>
              <w:rPr>
                <w:webHidden/>
                <w:rStyle w:val="Saltoaindice"/>
              </w:rPr>
              <w:t>6.</w:t>
            </w:r>
            <w:r>
              <w:rPr>
                <w:rStyle w:val="Saltoaindice"/>
                <w:rFonts w:eastAsia="" w:cs="" w:cstheme="minorBidi" w:eastAsiaTheme="minorEastAsia"/>
                <w:caps w:val="false"/>
                <w:smallCaps w:val="false"/>
              </w:rPr>
              <w:tab/>
            </w:r>
            <w:r>
              <w:rPr>
                <w:rStyle w:val="Saltoaindice"/>
              </w:rPr>
              <w:t>RISULTATI DI ATTIVITÀ SANITARIA</w:t>
            </w:r>
            <w:r>
              <w:rPr>
                <w:webHidden/>
              </w:rPr>
              <w:fldChar w:fldCharType="begin"/>
            </w:r>
            <w:r>
              <w:rPr>
                <w:webHidden/>
              </w:rPr>
              <w:instrText>PAGEREF _Toc152228361 \h</w:instrText>
            </w:r>
            <w:r>
              <w:rPr>
                <w:webHidden/>
              </w:rPr>
              <w:fldChar w:fldCharType="separate"/>
            </w:r>
            <w:r>
              <w:rPr>
                <w:rStyle w:val="Saltoaindice"/>
                <w:vanish w:val="false"/>
              </w:rPr>
              <w:tab/>
              <w:t>53</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62">
            <w:r>
              <w:rPr>
                <w:webHidden/>
                <w:rStyle w:val="Saltoaindice"/>
                <w:rFonts w:cs="Calibri" w:ascii="Calibri" w:hAnsi="Calibri"/>
              </w:rPr>
              <w:t>6.1 METODOLOGIA DI CALCOLO</w:t>
            </w:r>
            <w:r>
              <w:rPr>
                <w:webHidden/>
              </w:rPr>
              <w:fldChar w:fldCharType="begin"/>
            </w:r>
            <w:r>
              <w:rPr>
                <w:webHidden/>
              </w:rPr>
              <w:instrText>PAGEREF _Toc152228362 \h</w:instrText>
            </w:r>
            <w:r>
              <w:rPr>
                <w:webHidden/>
              </w:rPr>
              <w:fldChar w:fldCharType="separate"/>
            </w:r>
            <w:r>
              <w:rPr>
                <w:rStyle w:val="Saltoaindice"/>
                <w:vanish w:val="false"/>
              </w:rPr>
              <w:tab/>
              <w:t>53</w:t>
            </w:r>
            <w:r>
              <w:rPr>
                <w:webHidden/>
              </w:rPr>
              <w:fldChar w:fldCharType="end"/>
            </w:r>
          </w:hyperlink>
        </w:p>
        <w:p>
          <w:pPr>
            <w:pStyle w:val="Indice2"/>
            <w:tabs>
              <w:tab w:val="clear" w:pos="708"/>
              <w:tab w:val="right" w:pos="9628" w:leader="dot"/>
            </w:tabs>
            <w:rPr>
              <w:rFonts w:ascii="Calibri" w:hAnsi="Calibri" w:eastAsia="" w:cs="" w:asciiTheme="minorHAnsi" w:cstheme="minorBidi" w:eastAsiaTheme="minorEastAsia" w:hAnsiTheme="minorHAnsi"/>
              <w:sz w:val="22"/>
              <w:szCs w:val="22"/>
            </w:rPr>
          </w:pPr>
          <w:hyperlink w:anchor="_Toc152228363">
            <w:r>
              <w:rPr>
                <w:webHidden/>
                <w:rStyle w:val="Saltoaindice"/>
                <w:rFonts w:cs="Calibri" w:ascii="Calibri" w:hAnsi="Calibri"/>
              </w:rPr>
              <w:t>6.2 RISULTATI</w:t>
            </w:r>
            <w:r>
              <w:rPr>
                <w:webHidden/>
              </w:rPr>
              <w:fldChar w:fldCharType="begin"/>
            </w:r>
            <w:r>
              <w:rPr>
                <w:webHidden/>
              </w:rPr>
              <w:instrText>PAGEREF _Toc152228363 \h</w:instrText>
            </w:r>
            <w:r>
              <w:rPr>
                <w:webHidden/>
              </w:rPr>
              <w:fldChar w:fldCharType="separate"/>
            </w:r>
            <w:r>
              <w:rPr>
                <w:rStyle w:val="Saltoaindice"/>
                <w:vanish w:val="false"/>
              </w:rPr>
              <w:tab/>
              <w:t>54</w:t>
            </w:r>
            <w:r>
              <w:rPr>
                <w:webHidden/>
              </w:rPr>
              <w:fldChar w:fldCharType="end"/>
            </w:r>
          </w:hyperlink>
        </w:p>
        <w:p>
          <w:pPr>
            <w:pStyle w:val="Indice1"/>
            <w:rPr>
              <w:rFonts w:ascii="Calibri" w:hAnsi="Calibri" w:eastAsia="" w:cs="" w:asciiTheme="minorHAnsi" w:cstheme="minorBidi" w:eastAsiaTheme="minorEastAsia" w:hAnsiTheme="minorHAnsi"/>
              <w:caps w:val="false"/>
              <w:smallCaps w:val="false"/>
            </w:rPr>
          </w:pPr>
          <w:hyperlink w:anchor="_Toc152228364">
            <w:r>
              <w:rPr>
                <w:webHidden/>
                <w:rStyle w:val="Saltoaindice"/>
              </w:rPr>
              <w:t>7.</w:t>
            </w:r>
            <w:r>
              <w:rPr>
                <w:rStyle w:val="Saltoaindice"/>
                <w:rFonts w:eastAsia="" w:cs="" w:cstheme="minorBidi" w:eastAsiaTheme="minorEastAsia"/>
                <w:caps w:val="false"/>
                <w:smallCaps w:val="false"/>
              </w:rPr>
              <w:tab/>
            </w:r>
            <w:r>
              <w:rPr>
                <w:rStyle w:val="Saltoaindice"/>
                <w:rFonts w:cs="Calibri" w:cstheme="minorHAnsi"/>
              </w:rPr>
              <w:t>RISULTATI DI ATTIVITÀ ECONOMICA</w:t>
            </w:r>
            <w:r>
              <w:rPr>
                <w:webHidden/>
              </w:rPr>
              <w:fldChar w:fldCharType="begin"/>
            </w:r>
            <w:r>
              <w:rPr>
                <w:webHidden/>
              </w:rPr>
              <w:instrText>PAGEREF _Toc152228364 \h</w:instrText>
            </w:r>
            <w:r>
              <w:rPr>
                <w:webHidden/>
              </w:rPr>
              <w:fldChar w:fldCharType="separate"/>
            </w:r>
            <w:r>
              <w:rPr>
                <w:rStyle w:val="Saltoaindice"/>
                <w:vanish w:val="false"/>
              </w:rPr>
              <w:tab/>
              <w:t>62</w:t>
            </w:r>
            <w:r>
              <w:rPr>
                <w:webHidden/>
              </w:rPr>
              <w:fldChar w:fldCharType="end"/>
            </w:r>
          </w:hyperlink>
        </w:p>
        <w:p>
          <w:pPr>
            <w:pStyle w:val="Indice1"/>
            <w:rPr>
              <w:rFonts w:ascii="Calibri" w:hAnsi="Calibri" w:eastAsia="" w:cs="" w:asciiTheme="minorHAnsi" w:cstheme="minorBidi" w:eastAsiaTheme="minorEastAsia" w:hAnsiTheme="minorHAnsi"/>
              <w:caps w:val="false"/>
              <w:smallCaps w:val="false"/>
            </w:rPr>
          </w:pPr>
          <w:hyperlink w:anchor="_Toc152228365">
            <w:r>
              <w:rPr>
                <w:webHidden/>
                <w:rStyle w:val="Saltoaindice"/>
              </w:rPr>
              <w:t>8.</w:t>
            </w:r>
            <w:r>
              <w:rPr>
                <w:rStyle w:val="Saltoaindice"/>
                <w:rFonts w:eastAsia="" w:cs="" w:cstheme="minorBidi" w:eastAsiaTheme="minorEastAsia"/>
                <w:caps w:val="false"/>
                <w:smallCaps w:val="false"/>
              </w:rPr>
              <w:tab/>
            </w:r>
            <w:r>
              <w:rPr>
                <w:rStyle w:val="Saltoaindice"/>
              </w:rPr>
              <w:t>RISULTATI DI VALUTAZIONE INDIVIDUALE</w:t>
            </w:r>
            <w:r>
              <w:rPr>
                <w:webHidden/>
              </w:rPr>
              <w:fldChar w:fldCharType="begin"/>
            </w:r>
            <w:r>
              <w:rPr>
                <w:webHidden/>
              </w:rPr>
              <w:instrText>PAGEREF _Toc152228365 \h</w:instrText>
            </w:r>
            <w:r>
              <w:rPr>
                <w:webHidden/>
              </w:rPr>
              <w:fldChar w:fldCharType="separate"/>
            </w:r>
            <w:r>
              <w:rPr>
                <w:rStyle w:val="Saltoaindice"/>
                <w:vanish w:val="false"/>
              </w:rPr>
              <w:tab/>
              <w:t>83</w:t>
            </w:r>
            <w:r>
              <w:rPr>
                <w:webHidden/>
              </w:rPr>
              <w:fldChar w:fldCharType="end"/>
            </w:r>
          </w:hyperlink>
        </w:p>
        <w:p>
          <w:pPr>
            <w:pStyle w:val="Indice1"/>
            <w:rPr>
              <w:rFonts w:ascii="Calibri" w:hAnsi="Calibri" w:eastAsia="" w:cs="" w:asciiTheme="minorHAnsi" w:cstheme="minorBidi" w:eastAsiaTheme="minorEastAsia" w:hAnsiTheme="minorHAnsi"/>
              <w:caps w:val="false"/>
              <w:smallCaps w:val="false"/>
            </w:rPr>
          </w:pPr>
          <w:hyperlink w:anchor="_Toc152228366">
            <w:r>
              <w:rPr>
                <w:webHidden/>
                <w:rStyle w:val="Saltoaindice"/>
              </w:rPr>
              <w:t>9.</w:t>
            </w:r>
            <w:r>
              <w:rPr>
                <w:rStyle w:val="Saltoaindice"/>
                <w:rFonts w:eastAsia="" w:cs="" w:cstheme="minorBidi" w:eastAsiaTheme="minorEastAsia"/>
                <w:caps w:val="false"/>
                <w:smallCaps w:val="false"/>
              </w:rPr>
              <w:tab/>
            </w:r>
            <w:r>
              <w:rPr>
                <w:rStyle w:val="Saltoaindice"/>
                <w:rFonts w:cs="Calibri" w:cstheme="minorHAnsi"/>
              </w:rPr>
              <w:t>RISULTATI FINALI</w:t>
            </w:r>
            <w:r>
              <w:rPr>
                <w:webHidden/>
              </w:rPr>
              <w:fldChar w:fldCharType="begin"/>
            </w:r>
            <w:r>
              <w:rPr>
                <w:webHidden/>
              </w:rPr>
              <w:instrText>PAGEREF _Toc152228366 \h</w:instrText>
            </w:r>
            <w:r>
              <w:rPr>
                <w:webHidden/>
              </w:rPr>
              <w:fldChar w:fldCharType="separate"/>
            </w:r>
            <w:r>
              <w:rPr>
                <w:rStyle w:val="Saltoaindice"/>
                <w:vanish w:val="false"/>
              </w:rPr>
              <w:tab/>
              <w:t>87</w:t>
            </w:r>
            <w:r>
              <w:rPr>
                <w:webHidden/>
              </w:rPr>
              <w:fldChar w:fldCharType="end"/>
            </w:r>
          </w:hyperlink>
          <w:r>
            <w:rPr>
              <w:rStyle w:val="Saltoaindice"/>
              <w:vanish w:val="false"/>
            </w:rPr>
            <w:fldChar w:fldCharType="end"/>
          </w:r>
        </w:p>
      </w:sdtContent>
    </w:sdt>
    <w:p>
      <w:pPr>
        <w:pStyle w:val="Indice1"/>
        <w:rPr>
          <w:rFonts w:ascii="Calibri" w:hAnsi="Calibri" w:eastAsia="" w:cs="Calibri" w:asciiTheme="minorHAnsi" w:cstheme="minorHAnsi" w:eastAsiaTheme="minorEastAsia" w:hAnsiTheme="minorHAnsi"/>
          <w:caps w:val="false"/>
          <w:smallCaps w:val="false"/>
        </w:rPr>
      </w:pPr>
      <w:r>
        <w:rPr>
          <w:rFonts w:eastAsia="" w:cs="Calibri" w:cstheme="minorHAnsi" w:eastAsiaTheme="minorEastAsia"/>
          <w:caps w:val="false"/>
          <w:smallCaps w:val="false"/>
        </w:rPr>
      </w:r>
    </w:p>
    <w:p>
      <w:pPr>
        <w:pStyle w:val="Indice1"/>
        <w:spacing w:lineRule="atLeast" w:line="320"/>
        <w:rPr>
          <w:rFonts w:ascii="Calibri" w:hAnsi="Calibri" w:cs="Calibri" w:asciiTheme="minorHAnsi" w:cstheme="minorHAnsi" w:hAnsiTheme="minorHAnsi"/>
        </w:rPr>
      </w:pPr>
      <w:r>
        <w:rPr>
          <w:rFonts w:cs="Calibri" w:cstheme="minorHAnsi"/>
        </w:rPr>
      </w:r>
    </w:p>
    <w:p>
      <w:pPr>
        <w:pStyle w:val="Titolo1"/>
        <w:spacing w:lineRule="atLeast" w:line="320" w:before="0" w:after="120"/>
        <w:jc w:val="center"/>
        <w:rPr>
          <w:rFonts w:ascii="Calibri" w:hAnsi="Calibri" w:cs="Calibri" w:asciiTheme="minorHAnsi" w:cstheme="minorHAnsi" w:hAnsiTheme="minorHAnsi"/>
          <w:sz w:val="22"/>
          <w:szCs w:val="22"/>
        </w:rPr>
      </w:pPr>
      <w:r>
        <w:rPr>
          <w:rFonts w:cs="Calibri" w:cstheme="minorHAnsi" w:ascii="Calibri" w:hAnsi="Calibri"/>
          <w:sz w:val="22"/>
          <w:szCs w:val="22"/>
        </w:rPr>
      </w:r>
      <w:r>
        <w:br w:type="page"/>
      </w:r>
    </w:p>
    <w:p>
      <w:pPr>
        <w:pStyle w:val="Titoloprincipale"/>
        <w:numPr>
          <w:ilvl w:val="0"/>
          <w:numId w:val="1"/>
        </w:numPr>
        <w:spacing w:lineRule="atLeast" w:line="320" w:before="0" w:after="120"/>
        <w:ind w:left="0" w:hanging="0"/>
        <w:jc w:val="left"/>
        <w:rPr>
          <w:rFonts w:ascii="Calibri" w:hAnsi="Calibri" w:cs="Calibri" w:asciiTheme="minorHAnsi" w:cstheme="minorHAnsi" w:hAnsiTheme="minorHAnsi"/>
          <w:sz w:val="28"/>
          <w:szCs w:val="28"/>
        </w:rPr>
      </w:pPr>
      <w:bookmarkStart w:id="0" w:name="_Toc152228328"/>
      <w:bookmarkStart w:id="1" w:name="_Toc40088951"/>
      <w:bookmarkEnd w:id="1"/>
      <w:r>
        <w:rPr>
          <w:rFonts w:cs="Calibri" w:ascii="Calibri" w:hAnsi="Calibri" w:asciiTheme="minorHAnsi" w:cstheme="minorHAnsi" w:hAnsiTheme="minorHAnsi"/>
          <w:sz w:val="28"/>
          <w:szCs w:val="28"/>
        </w:rPr>
        <w:t>CONTESTO PANDEMIA SARS-COV2</w:t>
      </w:r>
      <w:bookmarkEnd w:id="0"/>
    </w:p>
    <w:p>
      <w:pPr>
        <w:pStyle w:val="Normal"/>
        <w:spacing w:lineRule="atLeast" w:line="320" w:before="0" w:after="120"/>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La Relazione sulla Performance è il documento annuale di rendicontazione dei risultati realizzati nell’anno di riferimento. Tale documento descrive i risultati raggiunti dall’Azienda relativamente agli obiettivi strategici esplicitati nel Piano Integrato di Attività e Organizzazione.</w:t>
      </w:r>
    </w:p>
    <w:p>
      <w:pPr>
        <w:pStyle w:val="Normal"/>
        <w:spacing w:lineRule="atLeast" w:line="320" w:before="0" w:after="120"/>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Nel 2022 i territori della AUSL Toscana Centro hanno presentato un’incidenza con un andamento trifasico con un picco nei primi due mesi che poi è decresciuto per risalire nel mese di luglio con un trend decrescente confermato anche nei primi mesi del 2023. A differenze dell’incidenza, l’occorrenza di ricovero, si è mantenuta bassa e stabile per tutto il 2022; anche in questo caso il dato si conferma nei primi mesi del 2023. </w:t>
      </w:r>
    </w:p>
    <w:p>
      <w:pPr>
        <w:pStyle w:val="Normal"/>
        <w:spacing w:lineRule="atLeast" w:line="320" w:before="0" w:after="120"/>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Pur non essendoci una stima precisa dei ricoveri con patologia primaria da SARS-COV2 rispetto ai riscontri concomitanti con altra patologia, quest’ultima è verosimilmente quella più rappresentata. (Figura 1 e 2).</w:t>
      </w:r>
    </w:p>
    <w:p>
      <w:pPr>
        <w:pStyle w:val="Normal"/>
        <w:rPr>
          <w:rFonts w:ascii="Calibri" w:hAnsi="Calibri" w:cs="Calibri" w:asciiTheme="minorHAnsi" w:cstheme="minorHAnsi" w:hAnsiTheme="minorHAnsi"/>
          <w:b/>
          <w:b/>
          <w:i/>
          <w:i/>
          <w:sz w:val="22"/>
          <w:szCs w:val="22"/>
        </w:rPr>
      </w:pPr>
      <w:r>
        <w:rPr>
          <w:rFonts w:cs="Calibri" w:ascii="Calibri" w:hAnsi="Calibri" w:asciiTheme="minorHAnsi" w:cstheme="minorHAnsi" w:hAnsiTheme="minorHAnsi"/>
          <w:b/>
          <w:i/>
          <w:sz w:val="22"/>
          <w:szCs w:val="22"/>
        </w:rPr>
        <w:t>FIGURA 1. CONFRONTO INCIDENZA MENSILE PER 100.000 ABITANTI IN AUSL TC NEGLI ANNI 2020, 2021, 2022 E 2023</w:t>
      </w:r>
    </w:p>
    <w:p>
      <w:pPr>
        <w:pStyle w:val="Normal"/>
        <w:rPr>
          <w:rFonts w:ascii="Calibri" w:hAnsi="Calibri" w:cs="Calibri" w:asciiTheme="minorHAnsi" w:cstheme="minorHAnsi" w:hAnsiTheme="minorHAnsi"/>
          <w:b/>
          <w:b/>
          <w:i/>
          <w:i/>
          <w:sz w:val="22"/>
          <w:szCs w:val="22"/>
        </w:rPr>
      </w:pPr>
      <w:r>
        <w:rPr>
          <w:rFonts w:cs="Calibri" w:cstheme="minorHAnsi" w:ascii="Calibri" w:hAnsi="Calibri"/>
          <w:b/>
          <w:i/>
          <w:sz w:val="22"/>
          <w:szCs w:val="22"/>
        </w:rPr>
      </w:r>
    </w:p>
    <w:p>
      <w:pPr>
        <w:pStyle w:val="Normal"/>
        <w:spacing w:lineRule="atLeast" w:line="320" w:before="0" w:after="120"/>
        <w:jc w:val="both"/>
        <w:rPr>
          <w:rFonts w:ascii="Calibri" w:hAnsi="Calibri" w:cs="Calibri" w:asciiTheme="minorHAnsi" w:cstheme="minorHAnsi" w:hAnsiTheme="minorHAnsi"/>
          <w:sz w:val="22"/>
          <w:szCs w:val="22"/>
        </w:rPr>
      </w:pPr>
      <w:r>
        <w:rPr/>
        <w:drawing>
          <wp:inline distT="0" distB="0" distL="0" distR="0">
            <wp:extent cx="6311265" cy="2392680"/>
            <wp:effectExtent l="0" t="0" r="0" b="0"/>
            <wp:docPr id="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
              </a:graphicData>
            </a:graphic>
          </wp:inline>
        </w:drawing>
      </w:r>
    </w:p>
    <w:p>
      <w:pPr>
        <w:pStyle w:val="Normal"/>
        <w:rPr>
          <w:rFonts w:ascii="Calibri" w:hAnsi="Calibri" w:cs="Calibri" w:asciiTheme="minorHAnsi" w:cstheme="minorHAnsi" w:hAnsiTheme="minorHAnsi"/>
          <w:b/>
          <w:b/>
          <w:i/>
          <w:i/>
          <w:sz w:val="22"/>
          <w:szCs w:val="22"/>
        </w:rPr>
      </w:pPr>
      <w:r>
        <w:rPr>
          <w:rFonts w:cs="Calibri" w:ascii="Calibri" w:hAnsi="Calibri" w:asciiTheme="minorHAnsi" w:cstheme="minorHAnsi" w:hAnsiTheme="minorHAnsi"/>
          <w:b/>
          <w:i/>
          <w:sz w:val="22"/>
          <w:szCs w:val="22"/>
        </w:rPr>
        <w:t>FIGURA 2. TASSO DI RICOVERO PER PAZIENTI CON INFEZIONE DA SARS-COV-2 NELLE STRUTTURE OSPEDALIERE DELLA AUSL TC NEGLI ANNI 2020, 2021, 2022 E 2023</w:t>
      </w:r>
    </w:p>
    <w:p>
      <w:pPr>
        <w:pStyle w:val="Normal"/>
        <w:rPr>
          <w:rFonts w:ascii="Calibri" w:hAnsi="Calibri" w:cs="Calibri" w:asciiTheme="minorHAnsi" w:cstheme="minorHAnsi" w:hAnsiTheme="minorHAnsi"/>
          <w:b/>
          <w:b/>
          <w:i/>
          <w:i/>
          <w:sz w:val="22"/>
          <w:szCs w:val="22"/>
        </w:rPr>
      </w:pPr>
      <w:r>
        <w:rPr>
          <w:rFonts w:cs="Calibri" w:cstheme="minorHAnsi" w:ascii="Calibri" w:hAnsi="Calibri"/>
          <w:b/>
          <w:i/>
          <w:sz w:val="22"/>
          <w:szCs w:val="22"/>
        </w:rPr>
      </w:r>
    </w:p>
    <w:p>
      <w:pPr>
        <w:pStyle w:val="Normal"/>
        <w:rPr>
          <w:rFonts w:ascii="Calibri" w:hAnsi="Calibri" w:cs="Calibri" w:asciiTheme="minorHAnsi" w:cstheme="minorHAnsi" w:hAnsiTheme="minorHAnsi"/>
          <w:b/>
          <w:b/>
          <w:i/>
          <w:i/>
          <w:sz w:val="22"/>
          <w:szCs w:val="22"/>
        </w:rPr>
      </w:pPr>
      <w:r>
        <w:rPr>
          <w:rFonts w:cs="Calibri" w:cstheme="minorHAnsi" w:ascii="Calibri" w:hAnsi="Calibri"/>
          <w:b/>
          <w:i/>
          <w:sz w:val="22"/>
          <w:szCs w:val="22"/>
        </w:rPr>
      </w:r>
    </w:p>
    <w:p>
      <w:pPr>
        <w:pStyle w:val="Normal"/>
        <w:spacing w:lineRule="atLeast" w:line="320" w:before="0" w:after="120"/>
        <w:jc w:val="both"/>
        <w:rPr>
          <w:rFonts w:ascii="Calibri" w:hAnsi="Calibri" w:cs="Calibri" w:asciiTheme="minorHAnsi" w:cstheme="minorHAnsi" w:hAnsiTheme="minorHAnsi"/>
          <w:sz w:val="22"/>
          <w:szCs w:val="22"/>
        </w:rPr>
      </w:pPr>
      <w:r>
        <w:rPr/>
        <w:drawing>
          <wp:inline distT="0" distB="0" distL="0" distR="0">
            <wp:extent cx="6400800" cy="2666365"/>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pStyle w:val="Normal"/>
        <w:spacing w:lineRule="atLeast" w:line="320" w:before="0" w:after="120"/>
        <w:jc w:val="both"/>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spacing w:lineRule="atLeast" w:line="320" w:before="0" w:after="120"/>
        <w:jc w:val="both"/>
        <w:rPr>
          <w:rFonts w:ascii="Calibri" w:hAnsi="Calibri" w:cs="Calibri"/>
          <w:sz w:val="22"/>
          <w:szCs w:val="22"/>
        </w:rPr>
      </w:pPr>
      <w:r>
        <w:rPr>
          <w:rFonts w:cs="Calibri" w:ascii="Calibri" w:hAnsi="Calibri"/>
          <w:sz w:val="22"/>
          <w:szCs w:val="22"/>
        </w:rPr>
        <w:t>Tenendo conto della situazione epidemiologica sopra descritta, con questa relazione si presentano le performance dell’azienda misurate secondo un set d’indicatori quantitativi costituenti il sistema di valutazione regionale delle performance realizzato dal Laboratorio MES dell’Istituto S. Anna di Pisa. Questo sistema calcola per ogni indicatore sia un valore sintetico di performance espresso in fasce di valutazione (riferite alla media regionale), sia uno “scenario di variabilità” della performance tra zone distretto.</w:t>
      </w:r>
    </w:p>
    <w:p>
      <w:pPr>
        <w:pStyle w:val="Normal"/>
        <w:spacing w:lineRule="atLeast" w:line="320" w:before="0" w:after="120"/>
        <w:jc w:val="both"/>
        <w:rPr>
          <w:rFonts w:ascii="Calibri" w:hAnsi="Calibri" w:cs="Calibri"/>
          <w:sz w:val="22"/>
          <w:szCs w:val="22"/>
        </w:rPr>
      </w:pPr>
      <w:r>
        <w:rPr>
          <w:rFonts w:cs="Calibri" w:ascii="Calibri" w:hAnsi="Calibri"/>
          <w:sz w:val="22"/>
          <w:szCs w:val="22"/>
        </w:rPr>
        <w:t>Le fasce di valutazione della performance sono cinque:</w:t>
      </w:r>
    </w:p>
    <w:p>
      <w:pPr>
        <w:pStyle w:val="ListParagraph"/>
        <w:numPr>
          <w:ilvl w:val="0"/>
          <w:numId w:val="2"/>
        </w:numPr>
        <w:spacing w:lineRule="atLeast" w:line="320" w:before="0" w:after="120"/>
        <w:jc w:val="both"/>
        <w:rPr>
          <w:rFonts w:ascii="Calibri" w:hAnsi="Calibri" w:cs="Calibri"/>
          <w:lang w:val="it-IT"/>
        </w:rPr>
      </w:pPr>
      <w:r>
        <w:rPr>
          <w:rFonts w:cs="Calibri" w:ascii="Calibri" w:hAnsi="Calibri"/>
          <w:lang w:val="it-IT"/>
        </w:rPr>
        <w:t>fascia verde, valori tra 4 e 5, performance ottima;</w:t>
      </w:r>
    </w:p>
    <w:p>
      <w:pPr>
        <w:pStyle w:val="ListParagraph"/>
        <w:numPr>
          <w:ilvl w:val="0"/>
          <w:numId w:val="2"/>
        </w:numPr>
        <w:spacing w:lineRule="atLeast" w:line="320" w:before="0" w:after="120"/>
        <w:jc w:val="both"/>
        <w:rPr>
          <w:rFonts w:ascii="Calibri" w:hAnsi="Calibri" w:cs="Calibri"/>
          <w:lang w:val="it-IT"/>
        </w:rPr>
      </w:pPr>
      <w:r>
        <w:rPr>
          <w:rFonts w:cs="Calibri" w:ascii="Calibri" w:hAnsi="Calibri"/>
          <w:lang w:val="it-IT"/>
        </w:rPr>
        <w:t>fascia verde chiaro, valori tra 3 e 4, performance buona;</w:t>
      </w:r>
    </w:p>
    <w:p>
      <w:pPr>
        <w:pStyle w:val="ListParagraph"/>
        <w:numPr>
          <w:ilvl w:val="0"/>
          <w:numId w:val="2"/>
        </w:numPr>
        <w:spacing w:lineRule="atLeast" w:line="320" w:before="0" w:after="120"/>
        <w:jc w:val="both"/>
        <w:rPr>
          <w:rFonts w:ascii="Calibri" w:hAnsi="Calibri" w:cs="Calibri"/>
          <w:lang w:val="it-IT"/>
        </w:rPr>
      </w:pPr>
      <w:r>
        <w:rPr>
          <w:rFonts w:cs="Calibri" w:ascii="Calibri" w:hAnsi="Calibri"/>
          <w:lang w:val="it-IT"/>
        </w:rPr>
        <w:t>fascia gialla, valori tra 2 e il 3, esistono spazi di miglioramento;</w:t>
      </w:r>
    </w:p>
    <w:p>
      <w:pPr>
        <w:pStyle w:val="ListParagraph"/>
        <w:numPr>
          <w:ilvl w:val="0"/>
          <w:numId w:val="2"/>
        </w:numPr>
        <w:spacing w:lineRule="atLeast" w:line="320" w:before="0" w:after="120"/>
        <w:jc w:val="both"/>
        <w:rPr>
          <w:rFonts w:ascii="Calibri" w:hAnsi="Calibri" w:cs="Calibri"/>
          <w:lang w:val="it-IT"/>
        </w:rPr>
      </w:pPr>
      <w:r>
        <w:rPr>
          <w:rFonts w:cs="Calibri" w:ascii="Calibri" w:hAnsi="Calibri"/>
          <w:lang w:val="it-IT"/>
        </w:rPr>
        <w:t>fascia arancione valori tra 1 e il 2, situazione da attenzionare;</w:t>
      </w:r>
    </w:p>
    <w:p>
      <w:pPr>
        <w:pStyle w:val="ListParagraph"/>
        <w:numPr>
          <w:ilvl w:val="0"/>
          <w:numId w:val="2"/>
        </w:numPr>
        <w:spacing w:lineRule="atLeast" w:line="320" w:before="0" w:after="120"/>
        <w:jc w:val="both"/>
        <w:rPr>
          <w:rFonts w:ascii="Calibri" w:hAnsi="Calibri" w:cs="Calibri"/>
          <w:lang w:val="it-IT"/>
        </w:rPr>
      </w:pPr>
      <w:r>
        <w:rPr>
          <w:rFonts w:cs="Calibri" w:ascii="Calibri" w:hAnsi="Calibri"/>
          <w:lang w:val="it-IT"/>
        </w:rPr>
        <w:t>fascia rossa, quando la performance è sotto l’unità.</w:t>
      </w:r>
    </w:p>
    <w:p>
      <w:pPr>
        <w:pStyle w:val="Normal"/>
        <w:suppressAutoHyphens w:val="false"/>
        <w:spacing w:lineRule="atLeast" w:line="320" w:before="0" w:after="120"/>
        <w:rPr>
          <w:rFonts w:ascii="Calibri" w:hAnsi="Calibri" w:cs="Calibri"/>
          <w:color w:val="212529"/>
          <w:sz w:val="22"/>
          <w:szCs w:val="22"/>
          <w:shd w:fill="FFFFFF" w:val="clear"/>
        </w:rPr>
      </w:pPr>
      <w:r>
        <w:rPr>
          <w:rFonts w:cs="Calibri" w:ascii="Calibri" w:hAnsi="Calibri"/>
          <w:color w:val="212529"/>
          <w:sz w:val="22"/>
          <w:szCs w:val="22"/>
          <w:shd w:fill="FFFFFF" w:val="clear"/>
        </w:rPr>
        <w:t>Dalla combinazione del trend relativo al valore di performance e della variabilità vengono individuati 4 possibili scenari:</w:t>
      </w:r>
    </w:p>
    <w:p>
      <w:pPr>
        <w:pStyle w:val="ListParagraph"/>
        <w:numPr>
          <w:ilvl w:val="0"/>
          <w:numId w:val="3"/>
        </w:numPr>
        <w:spacing w:lineRule="atLeast" w:line="320" w:before="0" w:after="120"/>
        <w:jc w:val="both"/>
        <w:rPr>
          <w:rFonts w:ascii="Calibri" w:hAnsi="Calibri" w:cs="Calibri"/>
          <w:lang w:val="it-IT"/>
        </w:rPr>
      </w:pPr>
      <w:r>
        <w:rPr>
          <w:rFonts w:cs="Calibri" w:ascii="Calibri" w:hAnsi="Calibri"/>
          <w:lang w:val="it-IT"/>
        </w:rPr>
        <w:t>Ottimo. Performance migliorata e variabilità ridotta (verde scuro).</w:t>
      </w:r>
    </w:p>
    <w:p>
      <w:pPr>
        <w:pStyle w:val="ListParagraph"/>
        <w:numPr>
          <w:ilvl w:val="0"/>
          <w:numId w:val="3"/>
        </w:numPr>
        <w:spacing w:lineRule="atLeast" w:line="320" w:before="0" w:after="120"/>
        <w:jc w:val="both"/>
        <w:rPr>
          <w:rFonts w:ascii="Calibri" w:hAnsi="Calibri" w:cs="Calibri"/>
          <w:lang w:val="it-IT"/>
        </w:rPr>
      </w:pPr>
      <w:r>
        <w:rPr>
          <w:rFonts w:cs="Calibri" w:ascii="Calibri" w:hAnsi="Calibri"/>
          <w:lang w:val="it-IT"/>
        </w:rPr>
        <w:t>Buona Strada. Performance migliorata ma variabilità aumentata (verde chiaro).</w:t>
      </w:r>
    </w:p>
    <w:p>
      <w:pPr>
        <w:pStyle w:val="ListParagraph"/>
        <w:numPr>
          <w:ilvl w:val="0"/>
          <w:numId w:val="3"/>
        </w:numPr>
        <w:spacing w:lineRule="atLeast" w:line="320" w:before="0" w:after="120"/>
        <w:jc w:val="both"/>
        <w:rPr>
          <w:rFonts w:ascii="Calibri" w:hAnsi="Calibri" w:cs="Calibri"/>
          <w:lang w:val="it-IT"/>
        </w:rPr>
      </w:pPr>
      <w:r>
        <w:rPr>
          <w:rFonts w:cs="Calibri" w:ascii="Calibri" w:hAnsi="Calibri"/>
          <w:lang w:val="it-IT"/>
        </w:rPr>
        <w:t>Attenzione. Performance peggiorata e variabilità aumentata (arancione).</w:t>
      </w:r>
    </w:p>
    <w:p>
      <w:pPr>
        <w:pStyle w:val="ListParagraph"/>
        <w:numPr>
          <w:ilvl w:val="0"/>
          <w:numId w:val="3"/>
        </w:numPr>
        <w:spacing w:lineRule="atLeast" w:line="320" w:before="0" w:after="120"/>
        <w:jc w:val="both"/>
        <w:rPr>
          <w:rFonts w:ascii="Calibri" w:hAnsi="Calibri" w:cs="Calibri"/>
          <w:lang w:val="it-IT"/>
        </w:rPr>
      </w:pPr>
      <w:r>
        <w:rPr>
          <w:rFonts w:cs="Calibri" w:ascii="Calibri" w:hAnsi="Calibri"/>
          <w:lang w:val="it-IT"/>
        </w:rPr>
        <w:t>Criticità. Performance peggiorata e variabilità ridotta (rosso).</w:t>
      </w:r>
    </w:p>
    <w:p>
      <w:pPr>
        <w:pStyle w:val="Normal"/>
        <w:spacing w:lineRule="atLeast" w:line="320" w:before="0" w:after="120"/>
        <w:jc w:val="both"/>
        <w:rPr>
          <w:rFonts w:ascii="Calibri" w:hAnsi="Calibri" w:cs="Calibri"/>
          <w:sz w:val="22"/>
          <w:szCs w:val="22"/>
        </w:rPr>
      </w:pPr>
      <w:r>
        <w:rPr>
          <w:rFonts w:cs="Calibri" w:ascii="Calibri" w:hAnsi="Calibri"/>
          <w:sz w:val="22"/>
          <w:szCs w:val="22"/>
        </w:rPr>
        <w:t>In questa relazione, oltre agli indicatori MES, per illustrare meglio le attività sono stati utilizzati anche dati interni.</w:t>
      </w:r>
    </w:p>
    <w:p>
      <w:pPr>
        <w:pStyle w:val="Normal"/>
        <w:spacing w:lineRule="atLeast" w:line="320" w:before="0" w:after="120"/>
        <w:jc w:val="both"/>
        <w:rPr>
          <w:rFonts w:ascii="Calibri" w:hAnsi="Calibri" w:cs="Calibri"/>
          <w:sz w:val="22"/>
          <w:szCs w:val="22"/>
        </w:rPr>
      </w:pPr>
      <w:r>
        <w:rPr>
          <w:rFonts w:cs="Calibri" w:ascii="Calibri" w:hAnsi="Calibri"/>
          <w:sz w:val="22"/>
          <w:szCs w:val="22"/>
        </w:rPr>
        <w:t>Nella valutazione dei risultati degli indicatori di performance organizzativa si è tenuto conto della diversa incidenza di SARS-COV2nei vari mesi dell’anno e, per taluni indicatori che fin dal momento della negoziazione di budget sono stati individuati come sensibili all’andamento dell’occupazione di posti letto CoViD o, più in generale dell’incidenza di SARS-COV2è stata effettata una valutazione limitata ai mesi di minore incidenza.</w:t>
      </w:r>
    </w:p>
    <w:p>
      <w:pPr>
        <w:pStyle w:val="Normal"/>
        <w:spacing w:lineRule="atLeast" w:line="320" w:before="0" w:after="120"/>
        <w:jc w:val="both"/>
        <w:rPr>
          <w:rFonts w:ascii="Calibri" w:hAnsi="Calibri" w:cs="Calibri"/>
          <w:sz w:val="22"/>
          <w:szCs w:val="22"/>
        </w:rPr>
      </w:pPr>
      <w:r>
        <w:rPr>
          <w:rFonts w:cs="Calibri" w:ascii="Calibri" w:hAnsi="Calibri"/>
          <w:sz w:val="22"/>
          <w:szCs w:val="22"/>
        </w:rPr>
        <w:t>Per ulteriori dettagli si rimanda al capitolo 6 “Schede e strumenti per la revisione degli obiettivi di budget 2022”.</w:t>
      </w:r>
    </w:p>
    <w:p>
      <w:pPr>
        <w:pStyle w:val="Normal"/>
        <w:spacing w:lineRule="atLeast" w:line="320" w:before="0" w:after="120"/>
        <w:jc w:val="both"/>
        <w:rPr>
          <w:rFonts w:ascii="Calibri" w:hAnsi="Calibri" w:cs="Calibri"/>
          <w:sz w:val="22"/>
          <w:szCs w:val="22"/>
        </w:rPr>
      </w:pPr>
      <w:r>
        <w:rPr>
          <w:rFonts w:cs="Calibri" w:ascii="Calibri" w:hAnsi="Calibri"/>
          <w:sz w:val="22"/>
          <w:szCs w:val="22"/>
        </w:rPr>
      </w:r>
    </w:p>
    <w:p>
      <w:pPr>
        <w:pStyle w:val="Normal"/>
        <w:spacing w:lineRule="atLeast" w:line="320" w:before="0" w:after="120"/>
        <w:rPr>
          <w:rFonts w:ascii="Calibri" w:hAnsi="Calibri" w:cs="Calibri"/>
          <w:sz w:val="22"/>
          <w:szCs w:val="22"/>
          <w:lang w:eastAsia="en-US"/>
        </w:rPr>
      </w:pPr>
      <w:r>
        <w:rPr>
          <w:rFonts w:cs="Calibri" w:ascii="Calibri" w:hAnsi="Calibri"/>
          <w:sz w:val="22"/>
          <w:szCs w:val="22"/>
          <w:lang w:eastAsia="en-US"/>
        </w:rPr>
      </w:r>
      <w:r>
        <w:br w:type="page"/>
      </w:r>
    </w:p>
    <w:p>
      <w:pPr>
        <w:pStyle w:val="Titoloprincipale"/>
        <w:numPr>
          <w:ilvl w:val="0"/>
          <w:numId w:val="1"/>
        </w:numPr>
        <w:spacing w:lineRule="atLeast" w:line="320" w:before="0" w:after="120"/>
        <w:ind w:left="0" w:hanging="0"/>
        <w:jc w:val="left"/>
        <w:rPr>
          <w:rFonts w:ascii="Calibri" w:hAnsi="Calibri" w:cs="Calibri"/>
          <w:sz w:val="28"/>
          <w:szCs w:val="28"/>
        </w:rPr>
      </w:pPr>
      <w:bookmarkStart w:id="2" w:name="_Toc152228329"/>
      <w:r>
        <w:rPr>
          <w:rFonts w:cs="Calibri" w:ascii="Calibri" w:hAnsi="Calibri"/>
          <w:sz w:val="28"/>
          <w:szCs w:val="28"/>
        </w:rPr>
        <w:t>LE ATTIVITÀ DELL’AZIENDA MISURATE TRAMITE IL SISTEMA REGIONALE DI VALUTAZIONE DELLE PERFORMANCE</w:t>
      </w:r>
      <w:bookmarkEnd w:id="2"/>
    </w:p>
    <w:p>
      <w:pPr>
        <w:pStyle w:val="Normal"/>
        <w:spacing w:lineRule="atLeast" w:line="320" w:before="0" w:after="120"/>
        <w:jc w:val="both"/>
        <w:rPr>
          <w:rFonts w:ascii="Calibri" w:hAnsi="Calibri" w:cs="Calibri"/>
          <w:sz w:val="22"/>
          <w:szCs w:val="22"/>
        </w:rPr>
      </w:pPr>
      <w:r>
        <w:rPr>
          <w:rFonts w:cs="Calibri" w:ascii="Calibri" w:hAnsi="Calibri"/>
          <w:sz w:val="22"/>
          <w:szCs w:val="22"/>
        </w:rPr>
        <w:t>Nel corso del 2022 l’AUSL TC ha orientato i propri sforzi per continuare a recuperare le prestazioni non erogate durante il periodo pandemico, mettendo in campo il know-how attraverso la professionalità degli oltre 14.000 operatori presenti nei 13 ospedali e nelle oltre 220 strutture dei territori delle 8 zone-distretto con iniziative di prevenzione, cura e riabilitazione.</w:t>
      </w:r>
    </w:p>
    <w:p>
      <w:pPr>
        <w:pStyle w:val="Titolo1"/>
        <w:spacing w:lineRule="atLeast" w:line="320" w:before="0" w:after="120"/>
        <w:rPr>
          <w:rFonts w:ascii="Calibri" w:hAnsi="Calibri" w:cs="Calibri"/>
          <w:caps/>
          <w:szCs w:val="24"/>
        </w:rPr>
      </w:pPr>
      <w:bookmarkStart w:id="3" w:name="_Toc152228330"/>
      <w:bookmarkStart w:id="4" w:name="_Toc40088919"/>
      <w:r>
        <w:rPr>
          <w:rFonts w:cs="Calibri" w:ascii="Calibri" w:hAnsi="Calibri"/>
          <w:caps/>
          <w:szCs w:val="24"/>
        </w:rPr>
        <w:t>2.1 Pronto Soccorso</w:t>
      </w:r>
      <w:bookmarkEnd w:id="4"/>
      <w:r>
        <w:rPr>
          <w:rFonts w:cs="Calibri" w:ascii="Calibri" w:hAnsi="Calibri"/>
          <w:caps/>
          <w:szCs w:val="24"/>
        </w:rPr>
        <w:t xml:space="preserve"> E 118</w:t>
      </w:r>
      <w:bookmarkEnd w:id="3"/>
    </w:p>
    <w:p>
      <w:pPr>
        <w:pStyle w:val="Normal"/>
        <w:spacing w:lineRule="atLeast" w:line="320" w:before="0" w:after="120"/>
        <w:jc w:val="both"/>
        <w:rPr>
          <w:rFonts w:ascii="Calibri" w:hAnsi="Calibri" w:cs="Calibri"/>
          <w:sz w:val="22"/>
          <w:szCs w:val="22"/>
        </w:rPr>
      </w:pPr>
      <w:r>
        <w:rPr>
          <w:rFonts w:cs="Calibri" w:ascii="Calibri" w:hAnsi="Calibri"/>
          <w:sz w:val="22"/>
          <w:szCs w:val="22"/>
        </w:rPr>
        <w:t>Nella tabella 1 sottostante, sono riportati gli accessi presso i Pronto Soccorso degli 8 Presidi Ospedalieri della AUSL Toscana Centro; nella figura 3 il trend di accessi 2019-2022.</w:t>
      </w:r>
    </w:p>
    <w:p>
      <w:pPr>
        <w:pStyle w:val="Normal"/>
        <w:spacing w:lineRule="atLeast" w:line="320" w:before="0" w:after="120"/>
        <w:rPr>
          <w:color w:val="000000"/>
        </w:rPr>
      </w:pPr>
      <w:r>
        <w:rPr>
          <w:rFonts w:cs="Calibri" w:ascii="Calibri" w:hAnsi="Calibri"/>
          <w:b/>
          <w:bCs/>
          <w:color w:val="000000"/>
          <w:sz w:val="22"/>
          <w:szCs w:val="22"/>
        </w:rPr>
        <w:t>Tabella 1. Numero Accessi ai Pronto Soccorso in AUSL Toscana Centro, anno 2022</w:t>
      </w:r>
    </w:p>
    <w:tbl>
      <w:tblPr>
        <w:tblW w:w="4668" w:type="dxa"/>
        <w:jc w:val="left"/>
        <w:tblInd w:w="5" w:type="dxa"/>
        <w:tblLayout w:type="fixed"/>
        <w:tblCellMar>
          <w:top w:w="0" w:type="dxa"/>
          <w:left w:w="70" w:type="dxa"/>
          <w:bottom w:w="0" w:type="dxa"/>
          <w:right w:w="70" w:type="dxa"/>
        </w:tblCellMar>
        <w:tblLook w:firstRow="1" w:noVBand="0" w:lastRow="0" w:firstColumn="1" w:lastColumn="0" w:noHBand="0" w:val="00a0"/>
      </w:tblPr>
      <w:tblGrid>
        <w:gridCol w:w="2966"/>
        <w:gridCol w:w="1701"/>
      </w:tblGrid>
      <w:tr>
        <w:trPr>
          <w:trHeight w:val="286" w:hRule="atLeast"/>
        </w:trPr>
        <w:tc>
          <w:tcPr>
            <w:tcW w:w="29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b/>
                <w:b/>
                <w:bCs/>
                <w:color w:val="000000"/>
              </w:rPr>
            </w:pPr>
            <w:r>
              <w:rPr>
                <w:rFonts w:cs="Calibri" w:ascii="Calibri" w:hAnsi="Calibri"/>
                <w:b/>
                <w:bCs/>
                <w:color w:val="000000"/>
                <w:sz w:val="22"/>
                <w:szCs w:val="22"/>
              </w:rPr>
              <w:t>Presidio</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rPr>
                <w:rFonts w:ascii="Calibri" w:hAnsi="Calibri" w:cs="Calibri"/>
                <w:color w:val="000000"/>
              </w:rPr>
            </w:pPr>
            <w:r>
              <w:rPr>
                <w:rFonts w:cs="Calibri" w:ascii="Calibri" w:hAnsi="Calibri"/>
                <w:color w:val="000000"/>
                <w:sz w:val="22"/>
                <w:szCs w:val="22"/>
              </w:rPr>
              <w:t>numero accessi</w:t>
            </w:r>
          </w:p>
        </w:tc>
      </w:tr>
      <w:tr>
        <w:trPr>
          <w:trHeight w:val="286" w:hRule="atLeast"/>
        </w:trPr>
        <w:tc>
          <w:tcPr>
            <w:tcW w:w="29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color w:val="000000"/>
                <w:sz w:val="22"/>
                <w:szCs w:val="22"/>
              </w:rPr>
            </w:pPr>
            <w:r>
              <w:rPr>
                <w:rFonts w:cs="Calibri" w:ascii="Calibri" w:hAnsi="Calibri"/>
                <w:color w:val="000000"/>
                <w:sz w:val="22"/>
                <w:szCs w:val="22"/>
              </w:rPr>
              <w:t xml:space="preserve">Ospedale Santo Stefano </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right"/>
              <w:rPr>
                <w:rFonts w:ascii="Arial" w:hAnsi="Arial" w:cs="Arial"/>
                <w:color w:val="000000"/>
                <w:sz w:val="20"/>
                <w:szCs w:val="22"/>
              </w:rPr>
            </w:pPr>
            <w:r>
              <w:rPr>
                <w:rFonts w:cs="Arial" w:ascii="Arial" w:hAnsi="Arial"/>
                <w:color w:val="000000"/>
                <w:sz w:val="20"/>
                <w:szCs w:val="22"/>
              </w:rPr>
              <w:t>32191</w:t>
            </w:r>
          </w:p>
        </w:tc>
      </w:tr>
      <w:tr>
        <w:trPr>
          <w:trHeight w:val="286" w:hRule="atLeast"/>
        </w:trPr>
        <w:tc>
          <w:tcPr>
            <w:tcW w:w="29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color w:val="000000"/>
                <w:sz w:val="22"/>
                <w:szCs w:val="22"/>
              </w:rPr>
            </w:pPr>
            <w:r>
              <w:rPr>
                <w:rFonts w:cs="Calibri" w:ascii="Calibri" w:hAnsi="Calibri"/>
                <w:color w:val="000000"/>
                <w:sz w:val="22"/>
                <w:szCs w:val="22"/>
              </w:rPr>
              <w:t xml:space="preserve">San Giovanni Di Dio </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right"/>
              <w:rPr>
                <w:rFonts w:ascii="Arial" w:hAnsi="Arial" w:cs="Arial"/>
                <w:color w:val="000000"/>
                <w:sz w:val="20"/>
                <w:szCs w:val="22"/>
              </w:rPr>
            </w:pPr>
            <w:r>
              <w:rPr>
                <w:rFonts w:cs="Arial" w:ascii="Arial" w:hAnsi="Arial"/>
                <w:color w:val="000000"/>
                <w:sz w:val="20"/>
                <w:szCs w:val="22"/>
              </w:rPr>
              <w:t>3500</w:t>
            </w:r>
          </w:p>
        </w:tc>
      </w:tr>
      <w:tr>
        <w:trPr>
          <w:trHeight w:val="286" w:hRule="atLeast"/>
        </w:trPr>
        <w:tc>
          <w:tcPr>
            <w:tcW w:w="29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color w:val="000000"/>
                <w:sz w:val="22"/>
                <w:szCs w:val="22"/>
              </w:rPr>
            </w:pPr>
            <w:r>
              <w:rPr>
                <w:rFonts w:cs="Calibri" w:ascii="Calibri" w:hAnsi="Calibri"/>
                <w:color w:val="000000"/>
                <w:sz w:val="22"/>
                <w:szCs w:val="22"/>
              </w:rPr>
              <w:t xml:space="preserve">San Giuseppe </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right"/>
              <w:rPr>
                <w:rFonts w:ascii="Arial" w:hAnsi="Arial" w:cs="Arial"/>
                <w:color w:val="000000"/>
                <w:sz w:val="20"/>
                <w:szCs w:val="22"/>
              </w:rPr>
            </w:pPr>
            <w:r>
              <w:rPr>
                <w:rFonts w:cs="Arial" w:ascii="Arial" w:hAnsi="Arial"/>
                <w:color w:val="000000"/>
                <w:sz w:val="20"/>
                <w:szCs w:val="22"/>
              </w:rPr>
              <w:t>54806</w:t>
            </w:r>
          </w:p>
        </w:tc>
      </w:tr>
      <w:tr>
        <w:trPr>
          <w:trHeight w:val="286" w:hRule="atLeast"/>
        </w:trPr>
        <w:tc>
          <w:tcPr>
            <w:tcW w:w="29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color w:val="000000"/>
                <w:sz w:val="22"/>
                <w:szCs w:val="22"/>
              </w:rPr>
            </w:pPr>
            <w:r>
              <w:rPr>
                <w:rFonts w:cs="Calibri" w:ascii="Calibri" w:hAnsi="Calibri"/>
                <w:color w:val="000000"/>
                <w:sz w:val="22"/>
                <w:szCs w:val="22"/>
              </w:rPr>
              <w:t>San Jacopo</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right"/>
              <w:rPr>
                <w:rFonts w:ascii="Arial" w:hAnsi="Arial" w:cs="Arial"/>
                <w:color w:val="000000"/>
                <w:sz w:val="20"/>
                <w:szCs w:val="22"/>
              </w:rPr>
            </w:pPr>
            <w:r>
              <w:rPr>
                <w:rFonts w:cs="Arial" w:ascii="Arial" w:hAnsi="Arial"/>
                <w:color w:val="000000"/>
                <w:sz w:val="20"/>
                <w:szCs w:val="22"/>
              </w:rPr>
              <w:t>85726</w:t>
            </w:r>
          </w:p>
        </w:tc>
      </w:tr>
      <w:tr>
        <w:trPr>
          <w:trHeight w:val="286" w:hRule="atLeast"/>
        </w:trPr>
        <w:tc>
          <w:tcPr>
            <w:tcW w:w="29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color w:val="000000"/>
                <w:sz w:val="22"/>
                <w:szCs w:val="22"/>
              </w:rPr>
            </w:pPr>
            <w:r>
              <w:rPr>
                <w:rFonts w:cs="Calibri" w:ascii="Calibri" w:hAnsi="Calibri"/>
                <w:color w:val="000000"/>
                <w:sz w:val="22"/>
                <w:szCs w:val="22"/>
              </w:rPr>
              <w:t>Santa Maria Annunziata</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right"/>
              <w:rPr>
                <w:rFonts w:ascii="Arial" w:hAnsi="Arial" w:cs="Arial"/>
                <w:color w:val="000000"/>
                <w:sz w:val="20"/>
                <w:szCs w:val="22"/>
              </w:rPr>
            </w:pPr>
            <w:r>
              <w:rPr>
                <w:rFonts w:cs="Arial" w:ascii="Arial" w:hAnsi="Arial"/>
                <w:color w:val="000000"/>
                <w:sz w:val="20"/>
                <w:szCs w:val="22"/>
              </w:rPr>
              <w:t>20386</w:t>
            </w:r>
          </w:p>
        </w:tc>
      </w:tr>
      <w:tr>
        <w:trPr>
          <w:trHeight w:val="286" w:hRule="atLeast"/>
        </w:trPr>
        <w:tc>
          <w:tcPr>
            <w:tcW w:w="29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color w:val="000000"/>
                <w:sz w:val="22"/>
                <w:szCs w:val="22"/>
              </w:rPr>
            </w:pPr>
            <w:r>
              <w:rPr>
                <w:rFonts w:cs="Calibri" w:ascii="Calibri" w:hAnsi="Calibri"/>
                <w:color w:val="000000"/>
                <w:sz w:val="22"/>
                <w:szCs w:val="22"/>
              </w:rPr>
              <w:t xml:space="preserve">Ospedale della Valdinievole </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right"/>
              <w:rPr>
                <w:rFonts w:ascii="Arial" w:hAnsi="Arial" w:cs="Arial"/>
                <w:color w:val="000000"/>
                <w:sz w:val="20"/>
                <w:szCs w:val="22"/>
              </w:rPr>
            </w:pPr>
            <w:r>
              <w:rPr>
                <w:rFonts w:cs="Arial" w:ascii="Arial" w:hAnsi="Arial"/>
                <w:color w:val="000000"/>
                <w:sz w:val="20"/>
                <w:szCs w:val="22"/>
              </w:rPr>
              <w:t>42631</w:t>
            </w:r>
          </w:p>
        </w:tc>
      </w:tr>
      <w:tr>
        <w:trPr>
          <w:trHeight w:val="286" w:hRule="atLeast"/>
        </w:trPr>
        <w:tc>
          <w:tcPr>
            <w:tcW w:w="29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color w:val="000000"/>
                <w:sz w:val="22"/>
                <w:szCs w:val="22"/>
              </w:rPr>
            </w:pPr>
            <w:r>
              <w:rPr>
                <w:rFonts w:cs="Calibri" w:ascii="Calibri" w:hAnsi="Calibri"/>
                <w:color w:val="000000"/>
                <w:sz w:val="22"/>
                <w:szCs w:val="22"/>
              </w:rPr>
              <w:t>Ospedale Borgo San Lorenzo</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right"/>
              <w:rPr>
                <w:rFonts w:ascii="Arial" w:hAnsi="Arial" w:cs="Arial"/>
                <w:color w:val="000000"/>
                <w:sz w:val="20"/>
                <w:szCs w:val="22"/>
              </w:rPr>
            </w:pPr>
            <w:r>
              <w:rPr>
                <w:rFonts w:cs="Arial" w:ascii="Arial" w:hAnsi="Arial"/>
                <w:color w:val="000000"/>
                <w:sz w:val="20"/>
                <w:szCs w:val="22"/>
              </w:rPr>
              <w:t>32446</w:t>
            </w:r>
          </w:p>
        </w:tc>
      </w:tr>
      <w:tr>
        <w:trPr>
          <w:trHeight w:val="286" w:hRule="atLeast"/>
        </w:trPr>
        <w:tc>
          <w:tcPr>
            <w:tcW w:w="29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color w:val="000000"/>
                <w:sz w:val="22"/>
                <w:szCs w:val="22"/>
              </w:rPr>
            </w:pPr>
            <w:r>
              <w:rPr>
                <w:rFonts w:cs="Calibri" w:ascii="Calibri" w:hAnsi="Calibri"/>
                <w:color w:val="000000"/>
                <w:sz w:val="22"/>
                <w:szCs w:val="22"/>
              </w:rPr>
              <w:t>Santa Maria Nuova</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right"/>
              <w:rPr>
                <w:rFonts w:ascii="Arial" w:hAnsi="Arial" w:cs="Arial"/>
                <w:color w:val="000000"/>
                <w:sz w:val="20"/>
                <w:szCs w:val="22"/>
              </w:rPr>
            </w:pPr>
            <w:r>
              <w:rPr>
                <w:rFonts w:cs="Arial" w:ascii="Arial" w:hAnsi="Arial"/>
                <w:color w:val="000000"/>
                <w:sz w:val="20"/>
                <w:szCs w:val="22"/>
              </w:rPr>
              <w:t>43431</w:t>
            </w:r>
          </w:p>
        </w:tc>
      </w:tr>
      <w:tr>
        <w:trPr>
          <w:trHeight w:val="286" w:hRule="atLeast"/>
        </w:trPr>
        <w:tc>
          <w:tcPr>
            <w:tcW w:w="29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color w:val="000000"/>
                <w:sz w:val="22"/>
                <w:szCs w:val="22"/>
              </w:rPr>
            </w:pPr>
            <w:r>
              <w:rPr>
                <w:rFonts w:cs="Calibri" w:ascii="Calibri" w:hAnsi="Calibri"/>
                <w:color w:val="000000"/>
                <w:sz w:val="22"/>
                <w:szCs w:val="22"/>
              </w:rPr>
              <w:t>TOTALE</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right"/>
              <w:rPr>
                <w:rFonts w:ascii="Calibri" w:hAnsi="Calibri" w:cs="Calibri"/>
                <w:b/>
                <w:b/>
                <w:color w:val="000000"/>
                <w:sz w:val="22"/>
                <w:szCs w:val="22"/>
              </w:rPr>
            </w:pPr>
            <w:r>
              <w:rPr>
                <w:rFonts w:cs="Calibri" w:ascii="Calibri" w:hAnsi="Calibri"/>
                <w:b/>
                <w:color w:val="000000"/>
                <w:sz w:val="22"/>
                <w:szCs w:val="22"/>
              </w:rPr>
              <w:t>375.230</w:t>
            </w:r>
          </w:p>
        </w:tc>
      </w:tr>
    </w:tbl>
    <w:p>
      <w:pPr>
        <w:pStyle w:val="Normal"/>
        <w:spacing w:lineRule="atLeast" w:line="320" w:before="0" w:after="120"/>
        <w:rPr/>
      </w:pPr>
      <w:r>
        <w:rPr/>
      </w:r>
    </w:p>
    <w:p>
      <w:pPr>
        <w:pStyle w:val="Normal"/>
        <w:spacing w:lineRule="atLeast" w:line="320" w:before="0" w:after="120"/>
        <w:rPr>
          <w:rFonts w:ascii="Calibri" w:hAnsi="Calibri" w:cs="Calibri"/>
          <w:b/>
          <w:b/>
          <w:bCs/>
          <w:color w:val="000000"/>
          <w:sz w:val="22"/>
          <w:szCs w:val="22"/>
        </w:rPr>
      </w:pPr>
      <w:r>
        <w:rPr>
          <w:rFonts w:cs="Calibri" w:ascii="Calibri" w:hAnsi="Calibri"/>
          <w:b/>
          <w:bCs/>
          <w:color w:val="000000"/>
          <w:sz w:val="22"/>
          <w:szCs w:val="22"/>
        </w:rPr>
        <w:t>Figura 3. Trend 2019-2022 di accessi ai Pronto Soccorso in AUSL Toscana Centro</w:t>
      </w:r>
    </w:p>
    <w:p>
      <w:pPr>
        <w:pStyle w:val="Normal"/>
        <w:spacing w:lineRule="atLeast" w:line="320" w:before="0" w:after="120"/>
        <w:jc w:val="both"/>
        <w:rPr/>
      </w:pPr>
      <w:r>
        <w:rPr/>
        <w:drawing>
          <wp:inline distT="0" distB="0" distL="0" distR="0">
            <wp:extent cx="6120130" cy="2446655"/>
            <wp:effectExtent l="0" t="0" r="0" b="0"/>
            <wp:docPr id="4"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 descr=""/>
                    <pic:cNvPicPr>
                      <a:picLocks noChangeAspect="1" noChangeArrowheads="1"/>
                    </pic:cNvPicPr>
                  </pic:nvPicPr>
                  <pic:blipFill>
                    <a:blip r:embed="rId5"/>
                    <a:stretch>
                      <a:fillRect/>
                    </a:stretch>
                  </pic:blipFill>
                  <pic:spPr bwMode="auto">
                    <a:xfrm>
                      <a:off x="0" y="0"/>
                      <a:ext cx="6120130" cy="2446655"/>
                    </a:xfrm>
                    <a:prstGeom prst="rect">
                      <a:avLst/>
                    </a:prstGeom>
                  </pic:spPr>
                </pic:pic>
              </a:graphicData>
            </a:graphic>
          </wp:inline>
        </w:drawing>
      </w:r>
    </w:p>
    <w:p>
      <w:pPr>
        <w:pStyle w:val="Normal"/>
        <w:spacing w:lineRule="atLeast" w:line="320" w:before="0" w:after="120"/>
        <w:jc w:val="both"/>
        <w:rPr>
          <w:rFonts w:ascii="Calibri" w:hAnsi="Calibri" w:cs="Arial"/>
          <w:sz w:val="22"/>
          <w:szCs w:val="22"/>
        </w:rPr>
      </w:pPr>
      <w:r>
        <w:rPr>
          <w:rFonts w:cs="Arial" w:ascii="Calibri" w:hAnsi="Calibri"/>
          <w:sz w:val="22"/>
          <w:szCs w:val="22"/>
        </w:rPr>
        <w:t>Dopo la una netta e generale riduzione degli accessi in tutti i Pronto Soccorso durante il periodo pandemico, dal 2021, e confermato nel 2022, si osserva una ripresa, che per l’Azienda USL Toscana Centro si attesta al 15,8%.  I volumi restano comunque inferiori rispetto al periodo pre-pandemico in tutte le Aziende Sanitarie della Toscana. La Toscana Centro presenta un tasso di accesso per 1.000 residenti inferiore rispetto a tutte le altre Aziende.</w:t>
      </w:r>
    </w:p>
    <w:p>
      <w:pPr>
        <w:pStyle w:val="Normal"/>
        <w:spacing w:lineRule="atLeast" w:line="320" w:before="0" w:after="120"/>
        <w:jc w:val="both"/>
        <w:rPr>
          <w:rFonts w:ascii="Calibri" w:hAnsi="Calibri" w:cs="Calibri"/>
          <w:sz w:val="22"/>
          <w:szCs w:val="22"/>
        </w:rPr>
      </w:pPr>
      <w:r>
        <w:rPr>
          <w:rFonts w:cs="Calibri" w:ascii="Calibri" w:hAnsi="Calibri"/>
          <w:sz w:val="22"/>
          <w:szCs w:val="22"/>
        </w:rPr>
      </w:r>
    </w:p>
    <w:p>
      <w:pPr>
        <w:pStyle w:val="Normal"/>
        <w:spacing w:lineRule="atLeast" w:line="320" w:before="0" w:after="120"/>
        <w:rPr>
          <w:rFonts w:ascii="Calibri" w:hAnsi="Calibri" w:cs="Calibri"/>
          <w:b/>
          <w:b/>
          <w:sz w:val="22"/>
          <w:szCs w:val="22"/>
        </w:rPr>
      </w:pPr>
      <w:r>
        <w:rPr>
          <w:rFonts w:cs="Calibri" w:ascii="Calibri" w:hAnsi="Calibri"/>
          <w:b/>
          <w:sz w:val="22"/>
          <w:szCs w:val="22"/>
        </w:rPr>
        <w:t>INDICATORI</w:t>
      </w:r>
    </w:p>
    <w:p>
      <w:pPr>
        <w:pStyle w:val="Normal"/>
        <w:spacing w:lineRule="atLeast" w:line="320" w:before="0" w:after="120"/>
        <w:jc w:val="both"/>
        <w:rPr>
          <w:rFonts w:ascii="Calibri" w:hAnsi="Calibri" w:cs="Arial"/>
          <w:sz w:val="22"/>
          <w:szCs w:val="22"/>
        </w:rPr>
      </w:pPr>
      <w:r>
        <w:rPr>
          <w:rFonts w:cs="Arial" w:ascii="Calibri" w:hAnsi="Calibri"/>
          <w:sz w:val="22"/>
          <w:szCs w:val="22"/>
        </w:rPr>
        <w:t xml:space="preserve">Gli indicatori relativi al Pronto Soccorso (Tabella 2) evidenziano valori stabili nel tempo </w:t>
      </w:r>
      <w:r>
        <w:rPr>
          <w:rFonts w:cs="Calibri" w:ascii="Calibri" w:hAnsi="Calibri"/>
          <w:sz w:val="22"/>
          <w:szCs w:val="22"/>
        </w:rPr>
        <w:t>seppur con una residua variabilità</w:t>
      </w:r>
      <w:r>
        <w:rPr>
          <w:rFonts w:cs="Arial" w:ascii="Calibri" w:hAnsi="Calibri"/>
          <w:sz w:val="22"/>
          <w:szCs w:val="22"/>
        </w:rPr>
        <w:t xml:space="preserve">; il tasso di abbandono del pronto soccorso è invece aumentato rispetto al precedente anno. </w:t>
      </w:r>
      <w:r>
        <w:rPr>
          <w:rFonts w:cs="Calibri" w:ascii="Calibri" w:hAnsi="Calibri"/>
          <w:sz w:val="22"/>
          <w:szCs w:val="22"/>
        </w:rPr>
        <w:t xml:space="preserve">Nonostante </w:t>
      </w:r>
      <w:r>
        <w:rPr>
          <w:rFonts w:cs="Calibri" w:ascii="Calibri" w:hAnsi="Calibri"/>
          <w:color w:val="000000"/>
          <w:sz w:val="22"/>
          <w:szCs w:val="22"/>
        </w:rPr>
        <w:t>l’incremento dell’offerta di posti letto post-acuzie</w:t>
      </w:r>
      <w:r>
        <w:rPr>
          <w:rFonts w:cs="Calibri" w:ascii="Calibri" w:hAnsi="Calibri"/>
          <w:sz w:val="22"/>
          <w:szCs w:val="22"/>
        </w:rPr>
        <w:t xml:space="preserve"> e il progressivo miglioramento riguardo l’indicatore </w:t>
      </w:r>
      <w:r>
        <w:rPr>
          <w:rFonts w:cs="Calibri" w:ascii="Calibri" w:hAnsi="Calibri"/>
          <w:color w:val="000000"/>
          <w:sz w:val="22"/>
          <w:szCs w:val="22"/>
        </w:rPr>
        <w:t>C16.4 sulla percentuale di accessi inviati al ricovero con tempo di permanenza entro 8 ore, quest’ultimo rimane comunque critico, riflettendo ancora una volta una situazione di boarding problematico.</w:t>
      </w:r>
    </w:p>
    <w:p>
      <w:pPr>
        <w:pStyle w:val="Normal"/>
        <w:spacing w:lineRule="atLeast" w:line="320" w:before="0" w:after="120"/>
        <w:rPr>
          <w:color w:val="000000"/>
        </w:rPr>
      </w:pPr>
      <w:r>
        <w:rPr>
          <w:rFonts w:cs="Calibri" w:ascii="Calibri" w:hAnsi="Calibri"/>
          <w:b/>
          <w:bCs/>
          <w:color w:val="000000"/>
          <w:sz w:val="22"/>
          <w:szCs w:val="22"/>
        </w:rPr>
        <w:t>Tabella 2. Indicatori MES Pronto Soccorso dell’AUSL Toscana Centro, anno 2022</w:t>
      </w:r>
    </w:p>
    <w:tbl>
      <w:tblPr>
        <w:tblW w:w="9783" w:type="dxa"/>
        <w:jc w:val="left"/>
        <w:tblInd w:w="0" w:type="dxa"/>
        <w:tblLayout w:type="fixed"/>
        <w:tblCellMar>
          <w:top w:w="0" w:type="dxa"/>
          <w:left w:w="108" w:type="dxa"/>
          <w:bottom w:w="0" w:type="dxa"/>
          <w:right w:w="108" w:type="dxa"/>
        </w:tblCellMar>
        <w:tblLook w:firstRow="1" w:noVBand="0" w:lastRow="0" w:firstColumn="1" w:lastColumn="0" w:noHBand="0" w:val="00a0"/>
      </w:tblPr>
      <w:tblGrid>
        <w:gridCol w:w="4105"/>
        <w:gridCol w:w="853"/>
        <w:gridCol w:w="850"/>
        <w:gridCol w:w="1134"/>
        <w:gridCol w:w="851"/>
        <w:gridCol w:w="708"/>
        <w:gridCol w:w="1281"/>
      </w:tblGrid>
      <w:tr>
        <w:trPr>
          <w:trHeight w:val="660" w:hRule="atLeast"/>
        </w:trPr>
        <w:tc>
          <w:tcPr>
            <w:tcW w:w="4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sz w:val="18"/>
                <w:szCs w:val="22"/>
              </w:rPr>
            </w:pPr>
            <w:r>
              <w:rPr>
                <w:rFonts w:cs="Calibri" w:ascii="Calibri" w:hAnsi="Calibri"/>
                <w:b/>
                <w:bCs/>
                <w:color w:val="000000"/>
                <w:sz w:val="18"/>
                <w:szCs w:val="22"/>
              </w:rPr>
              <w:t>Indicatore</w:t>
            </w:r>
          </w:p>
        </w:tc>
        <w:tc>
          <w:tcPr>
            <w:tcW w:w="85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color w:val="000000"/>
                <w:sz w:val="18"/>
                <w:szCs w:val="22"/>
              </w:rPr>
            </w:pPr>
            <w:r>
              <w:rPr>
                <w:rFonts w:cs="Calibri" w:ascii="Calibri" w:hAnsi="Calibri"/>
                <w:b/>
                <w:bCs/>
                <w:color w:val="000000"/>
                <w:sz w:val="18"/>
                <w:szCs w:val="22"/>
              </w:rPr>
              <w:t>Valore 2021</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color w:val="000000"/>
                <w:sz w:val="18"/>
                <w:szCs w:val="22"/>
              </w:rPr>
            </w:pPr>
            <w:r>
              <w:rPr>
                <w:rFonts w:cs="Calibri" w:ascii="Calibri" w:hAnsi="Calibri"/>
                <w:b/>
                <w:bCs/>
                <w:color w:val="000000"/>
                <w:sz w:val="18"/>
                <w:szCs w:val="22"/>
              </w:rPr>
              <w:t>Valore 2022</w:t>
            </w:r>
          </w:p>
        </w:tc>
        <w:tc>
          <w:tcPr>
            <w:tcW w:w="113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color w:val="000000"/>
                <w:sz w:val="18"/>
                <w:szCs w:val="22"/>
              </w:rPr>
            </w:pPr>
            <w:r>
              <w:rPr>
                <w:rFonts w:cs="Calibri" w:ascii="Calibri" w:hAnsi="Calibri"/>
                <w:b/>
                <w:bCs/>
                <w:color w:val="000000"/>
                <w:sz w:val="18"/>
                <w:szCs w:val="22"/>
              </w:rPr>
              <w:t>Valutazione 2022</w:t>
            </w:r>
          </w:p>
        </w:tc>
        <w:tc>
          <w:tcPr>
            <w:tcW w:w="85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color w:val="000000"/>
                <w:sz w:val="18"/>
                <w:szCs w:val="22"/>
              </w:rPr>
            </w:pPr>
            <w:r>
              <w:rPr>
                <w:rFonts w:cs="Calibri" w:ascii="Calibri" w:hAnsi="Calibri"/>
                <w:b/>
                <w:bCs/>
                <w:color w:val="000000"/>
                <w:sz w:val="18"/>
                <w:szCs w:val="22"/>
              </w:rPr>
              <w:t>Δ (%)</w:t>
            </w:r>
          </w:p>
        </w:tc>
        <w:tc>
          <w:tcPr>
            <w:tcW w:w="70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color w:val="000000"/>
                <w:sz w:val="18"/>
                <w:szCs w:val="22"/>
              </w:rPr>
            </w:pPr>
            <w:r>
              <w:rPr>
                <w:rFonts w:cs="Calibri" w:ascii="Calibri" w:hAnsi="Calibri"/>
                <w:b/>
                <w:bCs/>
                <w:color w:val="000000"/>
                <w:sz w:val="18"/>
                <w:szCs w:val="22"/>
              </w:rPr>
              <w:t>Δ CV</w:t>
            </w:r>
          </w:p>
        </w:tc>
        <w:tc>
          <w:tcPr>
            <w:tcW w:w="12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color w:val="000000"/>
                <w:sz w:val="18"/>
                <w:szCs w:val="22"/>
              </w:rPr>
            </w:pPr>
            <w:r>
              <w:rPr>
                <w:rFonts w:cs="Calibri" w:ascii="Calibri" w:hAnsi="Calibri"/>
                <w:b/>
                <w:bCs/>
                <w:color w:val="000000"/>
                <w:sz w:val="18"/>
                <w:szCs w:val="22"/>
              </w:rPr>
              <w:t>Variabilità</w:t>
            </w:r>
          </w:p>
        </w:tc>
      </w:tr>
      <w:tr>
        <w:trPr>
          <w:trHeight w:val="300" w:hRule="atLeast"/>
        </w:trPr>
        <w:tc>
          <w:tcPr>
            <w:tcW w:w="4105"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22"/>
                <w:szCs w:val="22"/>
              </w:rPr>
            </w:pPr>
            <w:r>
              <w:rPr>
                <w:rFonts w:cs="Calibri" w:ascii="Calibri" w:hAnsi="Calibri"/>
                <w:color w:val="000000"/>
                <w:sz w:val="22"/>
                <w:szCs w:val="22"/>
              </w:rPr>
              <w:t>C16.10 Percentuale di accessi ripetuti in Pronto Soccorso entro 72 ore</w:t>
            </w:r>
          </w:p>
        </w:tc>
        <w:tc>
          <w:tcPr>
            <w:tcW w:w="85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5,01</w:t>
            </w:r>
          </w:p>
        </w:tc>
        <w:tc>
          <w:tcPr>
            <w:tcW w:w="85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5,05</w:t>
            </w:r>
          </w:p>
        </w:tc>
        <w:tc>
          <w:tcPr>
            <w:tcW w:w="1134" w:type="dxa"/>
            <w:tcBorders>
              <w:bottom w:val="single" w:sz="4" w:space="0" w:color="000000"/>
              <w:right w:val="single" w:sz="4" w:space="0" w:color="000000"/>
            </w:tcBorders>
            <w:shd w:color="auto" w:fill="00B050"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4,1</w:t>
            </w:r>
          </w:p>
        </w:tc>
        <w:tc>
          <w:tcPr>
            <w:tcW w:w="85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-0,84</w:t>
            </w:r>
          </w:p>
        </w:tc>
        <w:tc>
          <w:tcPr>
            <w:tcW w:w="708"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0,33</w:t>
            </w:r>
          </w:p>
        </w:tc>
        <w:tc>
          <w:tcPr>
            <w:tcW w:w="1281"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jc w:val="center"/>
              <w:rPr>
                <w:rFonts w:ascii="Calibri" w:hAnsi="Calibri" w:cs="Calibri"/>
                <w:color w:val="000000" w:themeColor="text1"/>
                <w:sz w:val="22"/>
                <w:szCs w:val="22"/>
              </w:rPr>
            </w:pPr>
            <w:r>
              <w:rPr>
                <w:rFonts w:cs="Calibri" w:ascii="Calibri" w:hAnsi="Calibri"/>
                <w:color w:val="000000" w:themeColor="text1"/>
                <w:sz w:val="22"/>
                <w:szCs w:val="22"/>
              </w:rPr>
              <w:t>Attenzione</w:t>
            </w:r>
          </w:p>
        </w:tc>
      </w:tr>
      <w:tr>
        <w:trPr>
          <w:trHeight w:val="600" w:hRule="atLeast"/>
        </w:trPr>
        <w:tc>
          <w:tcPr>
            <w:tcW w:w="4105"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22"/>
                <w:szCs w:val="22"/>
              </w:rPr>
            </w:pPr>
            <w:r>
              <w:rPr>
                <w:rFonts w:cs="Calibri" w:ascii="Calibri" w:hAnsi="Calibri"/>
                <w:color w:val="000000"/>
                <w:sz w:val="22"/>
                <w:szCs w:val="22"/>
              </w:rPr>
              <w:t>C16.4 Percentuale di accessi al PS inviati al ricovero con tempo di permanenza entro 8 ore</w:t>
            </w:r>
          </w:p>
        </w:tc>
        <w:tc>
          <w:tcPr>
            <w:tcW w:w="85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42,85</w:t>
            </w:r>
          </w:p>
        </w:tc>
        <w:tc>
          <w:tcPr>
            <w:tcW w:w="85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48,18</w:t>
            </w:r>
          </w:p>
        </w:tc>
        <w:tc>
          <w:tcPr>
            <w:tcW w:w="1134" w:type="dxa"/>
            <w:tcBorders>
              <w:bottom w:val="single" w:sz="4" w:space="0" w:color="000000"/>
              <w:right w:val="single" w:sz="4" w:space="0" w:color="000000"/>
            </w:tcBorders>
            <w:shd w:color="auto" w:fill="C00000"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0</w:t>
            </w:r>
          </w:p>
        </w:tc>
        <w:tc>
          <w:tcPr>
            <w:tcW w:w="85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12,44</w:t>
            </w:r>
          </w:p>
        </w:tc>
        <w:tc>
          <w:tcPr>
            <w:tcW w:w="708"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-0,3</w:t>
            </w:r>
          </w:p>
        </w:tc>
        <w:tc>
          <w:tcPr>
            <w:tcW w:w="1281" w:type="dxa"/>
            <w:tcBorders>
              <w:top w:val="single" w:sz="4" w:space="0" w:color="000000"/>
              <w:left w:val="single" w:sz="4" w:space="0" w:color="000000"/>
              <w:bottom w:val="single" w:sz="4" w:space="0" w:color="000000"/>
              <w:right w:val="single" w:sz="4" w:space="0" w:color="000000"/>
            </w:tcBorders>
            <w:shd w:color="auto" w:fill="00B050" w:val="clear"/>
            <w:vAlign w:val="center"/>
          </w:tcPr>
          <w:p>
            <w:pPr>
              <w:pStyle w:val="Normal"/>
              <w:widowControl w:val="false"/>
              <w:jc w:val="center"/>
              <w:rPr>
                <w:rFonts w:ascii="Calibri" w:hAnsi="Calibri" w:cs="Calibri"/>
                <w:sz w:val="22"/>
                <w:szCs w:val="22"/>
              </w:rPr>
            </w:pPr>
            <w:r>
              <w:rPr>
                <w:rFonts w:cs="Calibri" w:ascii="Calibri" w:hAnsi="Calibri"/>
                <w:sz w:val="22"/>
                <w:szCs w:val="22"/>
              </w:rPr>
              <w:t>Ottimo</w:t>
            </w:r>
          </w:p>
        </w:tc>
      </w:tr>
      <w:tr>
        <w:trPr>
          <w:trHeight w:val="600" w:hRule="atLeast"/>
        </w:trPr>
        <w:tc>
          <w:tcPr>
            <w:tcW w:w="4105"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22"/>
                <w:szCs w:val="22"/>
              </w:rPr>
            </w:pPr>
            <w:r>
              <w:rPr>
                <w:rFonts w:cs="Calibri" w:ascii="Calibri" w:hAnsi="Calibri"/>
                <w:color w:val="000000"/>
                <w:sz w:val="22"/>
                <w:szCs w:val="22"/>
              </w:rPr>
              <w:t>C16.7 Percentuale ricoveri da PS in reparti chirurgici con DRG chirurgico alla dimissione</w:t>
            </w:r>
          </w:p>
        </w:tc>
        <w:tc>
          <w:tcPr>
            <w:tcW w:w="85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76,22</w:t>
            </w:r>
          </w:p>
        </w:tc>
        <w:tc>
          <w:tcPr>
            <w:tcW w:w="85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76,93</w:t>
            </w:r>
          </w:p>
        </w:tc>
        <w:tc>
          <w:tcPr>
            <w:tcW w:w="1134" w:type="dxa"/>
            <w:tcBorders>
              <w:bottom w:val="single" w:sz="4" w:space="0" w:color="000000"/>
              <w:right w:val="single" w:sz="4" w:space="0" w:color="000000"/>
            </w:tcBorders>
            <w:shd w:color="auto" w:fill="00B050"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4,19</w:t>
            </w:r>
          </w:p>
        </w:tc>
        <w:tc>
          <w:tcPr>
            <w:tcW w:w="85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0,93</w:t>
            </w:r>
          </w:p>
        </w:tc>
        <w:tc>
          <w:tcPr>
            <w:tcW w:w="708"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-0,09</w:t>
            </w:r>
          </w:p>
        </w:tc>
        <w:tc>
          <w:tcPr>
            <w:tcW w:w="1281" w:type="dxa"/>
            <w:tcBorders>
              <w:top w:val="single" w:sz="4" w:space="0" w:color="000000"/>
              <w:left w:val="single" w:sz="4" w:space="0" w:color="000000"/>
              <w:bottom w:val="single" w:sz="4" w:space="0" w:color="000000"/>
              <w:right w:val="single" w:sz="4" w:space="0" w:color="000000"/>
            </w:tcBorders>
            <w:shd w:color="auto" w:fill="00B050" w:val="clear"/>
            <w:vAlign w:val="center"/>
          </w:tcPr>
          <w:p>
            <w:pPr>
              <w:pStyle w:val="Normal"/>
              <w:widowControl w:val="false"/>
              <w:jc w:val="center"/>
              <w:rPr>
                <w:rFonts w:ascii="Calibri" w:hAnsi="Calibri" w:cs="Calibri"/>
                <w:sz w:val="22"/>
                <w:szCs w:val="22"/>
              </w:rPr>
            </w:pPr>
            <w:r>
              <w:rPr>
                <w:rFonts w:cs="Calibri" w:ascii="Calibri" w:hAnsi="Calibri"/>
                <w:sz w:val="22"/>
                <w:szCs w:val="22"/>
              </w:rPr>
              <w:t>Ottimo</w:t>
            </w:r>
          </w:p>
        </w:tc>
      </w:tr>
      <w:tr>
        <w:trPr>
          <w:trHeight w:val="346" w:hRule="atLeast"/>
        </w:trPr>
        <w:tc>
          <w:tcPr>
            <w:tcW w:w="4105"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22"/>
                <w:szCs w:val="22"/>
              </w:rPr>
            </w:pPr>
            <w:r>
              <w:rPr>
                <w:rFonts w:cs="Calibri" w:ascii="Calibri" w:hAnsi="Calibri"/>
                <w:color w:val="000000"/>
                <w:sz w:val="22"/>
                <w:szCs w:val="22"/>
              </w:rPr>
              <w:t>D9A Percentuale di abbandoni dal Pronto Soccorso non presidiati</w:t>
            </w:r>
          </w:p>
        </w:tc>
        <w:tc>
          <w:tcPr>
            <w:tcW w:w="85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3,66</w:t>
            </w:r>
          </w:p>
        </w:tc>
        <w:tc>
          <w:tcPr>
            <w:tcW w:w="85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4,25</w:t>
            </w:r>
          </w:p>
        </w:tc>
        <w:tc>
          <w:tcPr>
            <w:tcW w:w="1134" w:type="dxa"/>
            <w:tcBorders>
              <w:bottom w:val="single" w:sz="4" w:space="0" w:color="000000"/>
              <w:right w:val="single" w:sz="4" w:space="0" w:color="000000"/>
            </w:tcBorders>
            <w:shd w:color="auto" w:fill="FFC000"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1,35</w:t>
            </w:r>
          </w:p>
        </w:tc>
        <w:tc>
          <w:tcPr>
            <w:tcW w:w="85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-16,13</w:t>
            </w:r>
          </w:p>
        </w:tc>
        <w:tc>
          <w:tcPr>
            <w:tcW w:w="708"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0,14</w:t>
            </w:r>
          </w:p>
        </w:tc>
        <w:tc>
          <w:tcPr>
            <w:tcW w:w="1281"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jc w:val="center"/>
              <w:rPr>
                <w:rFonts w:ascii="Calibri" w:hAnsi="Calibri" w:cs="Calibri"/>
                <w:sz w:val="22"/>
                <w:szCs w:val="22"/>
              </w:rPr>
            </w:pPr>
            <w:r>
              <w:rPr>
                <w:rFonts w:cs="Calibri" w:ascii="Calibri" w:hAnsi="Calibri"/>
                <w:color w:val="000000" w:themeColor="text1"/>
                <w:sz w:val="22"/>
                <w:szCs w:val="22"/>
                <w:shd w:fill="FFC000" w:val="clear"/>
              </w:rPr>
              <w:t>Attenzion</w:t>
            </w:r>
            <w:r>
              <w:rPr>
                <w:rFonts w:cs="Calibri" w:ascii="Calibri" w:hAnsi="Calibri"/>
                <w:color w:val="000000" w:themeColor="text1"/>
                <w:sz w:val="22"/>
                <w:szCs w:val="22"/>
              </w:rPr>
              <w:t>e</w:t>
            </w:r>
          </w:p>
        </w:tc>
      </w:tr>
    </w:tbl>
    <w:p>
      <w:pPr>
        <w:pStyle w:val="Normal"/>
        <w:spacing w:lineRule="atLeast" w:line="320" w:before="0" w:after="120"/>
        <w:jc w:val="both"/>
        <w:rPr>
          <w:rFonts w:ascii="Calibri" w:hAnsi="Calibri" w:cs="Arial"/>
        </w:rPr>
      </w:pPr>
      <w:r>
        <w:rPr>
          <w:rFonts w:cs="Arial" w:ascii="Calibri" w:hAnsi="Calibri"/>
        </w:rPr>
      </w:r>
    </w:p>
    <w:p>
      <w:pPr>
        <w:pStyle w:val="Normal"/>
        <w:spacing w:lineRule="atLeast" w:line="320" w:before="0" w:after="120"/>
        <w:jc w:val="both"/>
        <w:rPr>
          <w:rFonts w:ascii="Calibri" w:hAnsi="Calibri" w:cs="Calibri"/>
          <w:sz w:val="22"/>
          <w:szCs w:val="22"/>
        </w:rPr>
      </w:pPr>
      <w:r>
        <w:rPr>
          <w:rFonts w:cs="Calibri" w:ascii="Calibri" w:hAnsi="Calibri"/>
          <w:sz w:val="22"/>
          <w:szCs w:val="22"/>
        </w:rPr>
        <w:t xml:space="preserve">L'indicatore più utilizzato per misurare la performance del 118 è l’intervallo Allarme-Target che descrive l’offerta assistenziale dei sistemi di emergenza sanitaria territoriale 118 in termini di tempestività di risposta. L'indicatore è inserito nella "griglia LEA" e misura l'intervallo di tempo che intercorre tra la ricezione della chiamata da parte della Centrale Operativa e l'arrivo del primo mezzo di soccorso sul posto (target). La figura 4 riporta i valori 2022 di questo indicatore che mostra un progressivo allungamento dei tempi di risposta. </w:t>
      </w:r>
    </w:p>
    <w:p>
      <w:pPr>
        <w:pStyle w:val="Normal"/>
        <w:spacing w:lineRule="atLeast" w:line="320" w:before="0" w:after="120"/>
        <w:jc w:val="both"/>
        <w:rPr>
          <w:rFonts w:ascii="Calibri" w:hAnsi="Calibri" w:cs="Calibri"/>
          <w:b/>
          <w:b/>
          <w:sz w:val="22"/>
          <w:szCs w:val="22"/>
        </w:rPr>
      </w:pPr>
      <w:r>
        <w:rPr>
          <w:rFonts w:cs="Calibri" w:ascii="Calibri" w:hAnsi="Calibri"/>
          <w:b/>
          <w:bCs/>
          <w:color w:val="000000"/>
          <w:sz w:val="22"/>
          <w:szCs w:val="22"/>
        </w:rPr>
        <w:t xml:space="preserve">Tabella 3. Indicatore MES </w:t>
      </w:r>
      <w:r>
        <w:rPr>
          <w:rFonts w:cs="Calibri" w:ascii="Calibri" w:hAnsi="Calibri"/>
          <w:b/>
          <w:sz w:val="22"/>
          <w:szCs w:val="22"/>
        </w:rPr>
        <w:t>Intervallo Allarme - Target dei mezzi di soccorso per zona distretto, Azienda USL Toscana Centro e Toscana anno 2022</w:t>
      </w:r>
    </w:p>
    <w:tbl>
      <w:tblPr>
        <w:tblW w:w="4111" w:type="dxa"/>
        <w:jc w:val="left"/>
        <w:tblInd w:w="-5" w:type="dxa"/>
        <w:tblLayout w:type="fixed"/>
        <w:tblCellMar>
          <w:top w:w="0" w:type="dxa"/>
          <w:left w:w="70" w:type="dxa"/>
          <w:bottom w:w="0" w:type="dxa"/>
          <w:right w:w="70" w:type="dxa"/>
        </w:tblCellMar>
        <w:tblLook w:firstRow="1" w:noVBand="1" w:lastRow="0" w:firstColumn="1" w:lastColumn="0" w:noHBand="0" w:val="04a0"/>
      </w:tblPr>
      <w:tblGrid>
        <w:gridCol w:w="2920"/>
        <w:gridCol w:w="1190"/>
      </w:tblGrid>
      <w:tr>
        <w:trPr>
          <w:trHeight w:val="300" w:hRule="atLeast"/>
        </w:trPr>
        <w:tc>
          <w:tcPr>
            <w:tcW w:w="29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b/>
                <w:b/>
                <w:bCs/>
                <w:color w:val="000000"/>
                <w:sz w:val="22"/>
                <w:szCs w:val="22"/>
              </w:rPr>
            </w:pPr>
            <w:r>
              <w:rPr>
                <w:rFonts w:cs="Calibri" w:ascii="Calibri" w:hAnsi="Calibri"/>
                <w:b/>
                <w:bCs/>
                <w:color w:val="000000"/>
                <w:sz w:val="22"/>
                <w:szCs w:val="22"/>
              </w:rPr>
              <w:t>Azienda</w:t>
            </w:r>
          </w:p>
        </w:tc>
        <w:tc>
          <w:tcPr>
            <w:tcW w:w="1190" w:type="dxa"/>
            <w:tcBorders>
              <w:top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b/>
                <w:b/>
                <w:bCs/>
                <w:color w:val="000000"/>
                <w:sz w:val="22"/>
                <w:szCs w:val="22"/>
              </w:rPr>
            </w:pPr>
            <w:r>
              <w:rPr>
                <w:rFonts w:cs="Calibri" w:ascii="Calibri" w:hAnsi="Calibri"/>
                <w:b/>
                <w:bCs/>
                <w:color w:val="000000"/>
                <w:sz w:val="22"/>
                <w:szCs w:val="22"/>
              </w:rPr>
              <w:t>Valore in minuti</w:t>
            </w:r>
          </w:p>
        </w:tc>
      </w:tr>
      <w:tr>
        <w:trPr>
          <w:trHeight w:val="300" w:hRule="atLeast"/>
        </w:trPr>
        <w:tc>
          <w:tcPr>
            <w:tcW w:w="29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color w:val="000000"/>
                <w:sz w:val="22"/>
                <w:szCs w:val="22"/>
              </w:rPr>
            </w:pPr>
            <w:r>
              <w:rPr>
                <w:rFonts w:cs="Calibri" w:ascii="Calibri" w:hAnsi="Calibri"/>
                <w:color w:val="000000"/>
                <w:sz w:val="22"/>
                <w:szCs w:val="22"/>
              </w:rPr>
              <w:t>Pistoiese</w:t>
            </w:r>
          </w:p>
        </w:tc>
        <w:tc>
          <w:tcPr>
            <w:tcW w:w="1190" w:type="dxa"/>
            <w:tcBorders>
              <w:bottom w:val="single" w:sz="4" w:space="0" w:color="000000"/>
              <w:right w:val="single" w:sz="4" w:space="0" w:color="000000"/>
            </w:tcBorders>
            <w:shd w:color="auto" w:fill="auto" w:val="clear"/>
            <w:vAlign w:val="bottom"/>
          </w:tcPr>
          <w:p>
            <w:pPr>
              <w:pStyle w:val="Normal"/>
              <w:widowControl w:val="false"/>
              <w:suppressAutoHyphens w:val="false"/>
              <w:jc w:val="right"/>
              <w:rPr>
                <w:rFonts w:ascii="Calibri" w:hAnsi="Calibri" w:cs="Calibri"/>
                <w:color w:val="000000"/>
                <w:sz w:val="22"/>
                <w:szCs w:val="22"/>
              </w:rPr>
            </w:pPr>
            <w:r>
              <w:rPr>
                <w:rFonts w:cs="Calibri" w:ascii="Calibri" w:hAnsi="Calibri"/>
                <w:color w:val="000000"/>
                <w:sz w:val="22"/>
                <w:szCs w:val="22"/>
              </w:rPr>
              <w:t>23</w:t>
            </w:r>
          </w:p>
        </w:tc>
      </w:tr>
      <w:tr>
        <w:trPr>
          <w:trHeight w:val="300" w:hRule="atLeast"/>
        </w:trPr>
        <w:tc>
          <w:tcPr>
            <w:tcW w:w="29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color w:val="000000"/>
                <w:sz w:val="22"/>
                <w:szCs w:val="22"/>
              </w:rPr>
            </w:pPr>
            <w:r>
              <w:rPr>
                <w:rFonts w:cs="Calibri" w:ascii="Calibri" w:hAnsi="Calibri"/>
                <w:color w:val="000000"/>
                <w:sz w:val="22"/>
                <w:szCs w:val="22"/>
              </w:rPr>
              <w:t>Val di Nievole</w:t>
            </w:r>
          </w:p>
        </w:tc>
        <w:tc>
          <w:tcPr>
            <w:tcW w:w="1190" w:type="dxa"/>
            <w:tcBorders>
              <w:bottom w:val="single" w:sz="4" w:space="0" w:color="000000"/>
              <w:right w:val="single" w:sz="4" w:space="0" w:color="000000"/>
            </w:tcBorders>
            <w:shd w:color="auto" w:fill="auto" w:val="clear"/>
            <w:vAlign w:val="bottom"/>
          </w:tcPr>
          <w:p>
            <w:pPr>
              <w:pStyle w:val="Normal"/>
              <w:widowControl w:val="false"/>
              <w:suppressAutoHyphens w:val="false"/>
              <w:jc w:val="right"/>
              <w:rPr>
                <w:rFonts w:ascii="Calibri" w:hAnsi="Calibri" w:cs="Calibri"/>
                <w:color w:val="000000"/>
                <w:sz w:val="22"/>
                <w:szCs w:val="22"/>
              </w:rPr>
            </w:pPr>
            <w:r>
              <w:rPr>
                <w:rFonts w:cs="Calibri" w:ascii="Calibri" w:hAnsi="Calibri"/>
                <w:color w:val="000000"/>
                <w:sz w:val="22"/>
                <w:szCs w:val="22"/>
              </w:rPr>
              <w:t>22,68</w:t>
            </w:r>
          </w:p>
        </w:tc>
      </w:tr>
      <w:tr>
        <w:trPr>
          <w:trHeight w:val="300" w:hRule="atLeast"/>
        </w:trPr>
        <w:tc>
          <w:tcPr>
            <w:tcW w:w="29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color w:val="000000"/>
                <w:sz w:val="22"/>
                <w:szCs w:val="22"/>
              </w:rPr>
            </w:pPr>
            <w:r>
              <w:rPr>
                <w:rFonts w:cs="Calibri" w:ascii="Calibri" w:hAnsi="Calibri"/>
                <w:color w:val="000000"/>
                <w:sz w:val="22"/>
                <w:szCs w:val="22"/>
              </w:rPr>
              <w:t>Pratese</w:t>
            </w:r>
          </w:p>
        </w:tc>
        <w:tc>
          <w:tcPr>
            <w:tcW w:w="1190" w:type="dxa"/>
            <w:tcBorders>
              <w:bottom w:val="single" w:sz="4" w:space="0" w:color="000000"/>
              <w:right w:val="single" w:sz="4" w:space="0" w:color="000000"/>
            </w:tcBorders>
            <w:shd w:color="auto" w:fill="auto" w:val="clear"/>
            <w:vAlign w:val="bottom"/>
          </w:tcPr>
          <w:p>
            <w:pPr>
              <w:pStyle w:val="Normal"/>
              <w:widowControl w:val="false"/>
              <w:suppressAutoHyphens w:val="false"/>
              <w:jc w:val="right"/>
              <w:rPr>
                <w:rFonts w:ascii="Calibri" w:hAnsi="Calibri" w:cs="Calibri"/>
                <w:color w:val="000000"/>
                <w:sz w:val="22"/>
                <w:szCs w:val="22"/>
              </w:rPr>
            </w:pPr>
            <w:r>
              <w:rPr>
                <w:rFonts w:cs="Calibri" w:ascii="Calibri" w:hAnsi="Calibri"/>
                <w:color w:val="000000"/>
                <w:sz w:val="22"/>
                <w:szCs w:val="22"/>
              </w:rPr>
              <w:t>18,55</w:t>
            </w:r>
          </w:p>
        </w:tc>
      </w:tr>
      <w:tr>
        <w:trPr>
          <w:trHeight w:val="300" w:hRule="atLeast"/>
        </w:trPr>
        <w:tc>
          <w:tcPr>
            <w:tcW w:w="29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color w:val="000000"/>
                <w:sz w:val="22"/>
                <w:szCs w:val="22"/>
              </w:rPr>
            </w:pPr>
            <w:r>
              <w:rPr>
                <w:rFonts w:cs="Calibri" w:ascii="Calibri" w:hAnsi="Calibri"/>
                <w:color w:val="000000"/>
                <w:sz w:val="22"/>
                <w:szCs w:val="22"/>
              </w:rPr>
              <w:t>Firenze</w:t>
            </w:r>
          </w:p>
        </w:tc>
        <w:tc>
          <w:tcPr>
            <w:tcW w:w="1190" w:type="dxa"/>
            <w:tcBorders>
              <w:bottom w:val="single" w:sz="4" w:space="0" w:color="000000"/>
              <w:right w:val="single" w:sz="4" w:space="0" w:color="000000"/>
            </w:tcBorders>
            <w:shd w:color="auto" w:fill="auto" w:val="clear"/>
            <w:vAlign w:val="bottom"/>
          </w:tcPr>
          <w:p>
            <w:pPr>
              <w:pStyle w:val="Normal"/>
              <w:widowControl w:val="false"/>
              <w:suppressAutoHyphens w:val="false"/>
              <w:jc w:val="right"/>
              <w:rPr>
                <w:rFonts w:ascii="Calibri" w:hAnsi="Calibri" w:cs="Calibri"/>
                <w:color w:val="000000"/>
                <w:sz w:val="22"/>
                <w:szCs w:val="22"/>
              </w:rPr>
            </w:pPr>
            <w:r>
              <w:rPr>
                <w:rFonts w:cs="Calibri" w:ascii="Calibri" w:hAnsi="Calibri"/>
                <w:color w:val="000000"/>
                <w:sz w:val="22"/>
                <w:szCs w:val="22"/>
              </w:rPr>
              <w:t>15,03</w:t>
            </w:r>
          </w:p>
        </w:tc>
      </w:tr>
      <w:tr>
        <w:trPr>
          <w:trHeight w:val="300" w:hRule="atLeast"/>
        </w:trPr>
        <w:tc>
          <w:tcPr>
            <w:tcW w:w="29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color w:val="000000"/>
                <w:sz w:val="22"/>
                <w:szCs w:val="22"/>
              </w:rPr>
            </w:pPr>
            <w:r>
              <w:rPr>
                <w:rFonts w:cs="Calibri" w:ascii="Calibri" w:hAnsi="Calibri"/>
                <w:color w:val="000000"/>
                <w:sz w:val="22"/>
                <w:szCs w:val="22"/>
              </w:rPr>
              <w:t>Fiorentina Nord-Ovest</w:t>
            </w:r>
          </w:p>
        </w:tc>
        <w:tc>
          <w:tcPr>
            <w:tcW w:w="1190" w:type="dxa"/>
            <w:tcBorders>
              <w:bottom w:val="single" w:sz="4" w:space="0" w:color="000000"/>
              <w:right w:val="single" w:sz="4" w:space="0" w:color="000000"/>
            </w:tcBorders>
            <w:shd w:color="auto" w:fill="auto" w:val="clear"/>
            <w:vAlign w:val="bottom"/>
          </w:tcPr>
          <w:p>
            <w:pPr>
              <w:pStyle w:val="Normal"/>
              <w:widowControl w:val="false"/>
              <w:suppressAutoHyphens w:val="false"/>
              <w:jc w:val="right"/>
              <w:rPr>
                <w:rFonts w:ascii="Calibri" w:hAnsi="Calibri" w:cs="Calibri"/>
                <w:color w:val="000000"/>
                <w:sz w:val="22"/>
                <w:szCs w:val="22"/>
              </w:rPr>
            </w:pPr>
            <w:r>
              <w:rPr>
                <w:rFonts w:cs="Calibri" w:ascii="Calibri" w:hAnsi="Calibri"/>
                <w:color w:val="000000"/>
                <w:sz w:val="22"/>
                <w:szCs w:val="22"/>
              </w:rPr>
              <w:t>18,37</w:t>
            </w:r>
          </w:p>
        </w:tc>
      </w:tr>
      <w:tr>
        <w:trPr>
          <w:trHeight w:val="300" w:hRule="atLeast"/>
        </w:trPr>
        <w:tc>
          <w:tcPr>
            <w:tcW w:w="29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color w:val="000000"/>
                <w:sz w:val="22"/>
                <w:szCs w:val="22"/>
              </w:rPr>
            </w:pPr>
            <w:r>
              <w:rPr>
                <w:rFonts w:cs="Calibri" w:ascii="Calibri" w:hAnsi="Calibri"/>
                <w:color w:val="000000"/>
                <w:sz w:val="22"/>
                <w:szCs w:val="22"/>
              </w:rPr>
              <w:t>Fiorentina Sud-Est</w:t>
            </w:r>
          </w:p>
        </w:tc>
        <w:tc>
          <w:tcPr>
            <w:tcW w:w="1190" w:type="dxa"/>
            <w:tcBorders>
              <w:bottom w:val="single" w:sz="4" w:space="0" w:color="000000"/>
              <w:right w:val="single" w:sz="4" w:space="0" w:color="000000"/>
            </w:tcBorders>
            <w:shd w:color="auto" w:fill="auto" w:val="clear"/>
            <w:vAlign w:val="bottom"/>
          </w:tcPr>
          <w:p>
            <w:pPr>
              <w:pStyle w:val="Normal"/>
              <w:widowControl w:val="false"/>
              <w:suppressAutoHyphens w:val="false"/>
              <w:jc w:val="right"/>
              <w:rPr>
                <w:rFonts w:ascii="Calibri" w:hAnsi="Calibri" w:cs="Calibri"/>
                <w:color w:val="000000"/>
                <w:sz w:val="22"/>
                <w:szCs w:val="22"/>
              </w:rPr>
            </w:pPr>
            <w:r>
              <w:rPr>
                <w:rFonts w:cs="Calibri" w:ascii="Calibri" w:hAnsi="Calibri"/>
                <w:color w:val="000000"/>
                <w:sz w:val="22"/>
                <w:szCs w:val="22"/>
              </w:rPr>
              <w:t>21,27</w:t>
            </w:r>
          </w:p>
        </w:tc>
      </w:tr>
      <w:tr>
        <w:trPr>
          <w:trHeight w:val="300" w:hRule="atLeast"/>
        </w:trPr>
        <w:tc>
          <w:tcPr>
            <w:tcW w:w="29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color w:val="000000"/>
                <w:sz w:val="22"/>
                <w:szCs w:val="22"/>
              </w:rPr>
            </w:pPr>
            <w:r>
              <w:rPr>
                <w:rFonts w:cs="Calibri" w:ascii="Calibri" w:hAnsi="Calibri"/>
                <w:color w:val="000000"/>
                <w:sz w:val="22"/>
                <w:szCs w:val="22"/>
              </w:rPr>
              <w:t>Mugello</w:t>
            </w:r>
          </w:p>
        </w:tc>
        <w:tc>
          <w:tcPr>
            <w:tcW w:w="1190" w:type="dxa"/>
            <w:tcBorders>
              <w:bottom w:val="single" w:sz="4" w:space="0" w:color="000000"/>
              <w:right w:val="single" w:sz="4" w:space="0" w:color="000000"/>
            </w:tcBorders>
            <w:shd w:color="auto" w:fill="auto" w:val="clear"/>
            <w:vAlign w:val="bottom"/>
          </w:tcPr>
          <w:p>
            <w:pPr>
              <w:pStyle w:val="Normal"/>
              <w:widowControl w:val="false"/>
              <w:suppressAutoHyphens w:val="false"/>
              <w:jc w:val="right"/>
              <w:rPr>
                <w:rFonts w:ascii="Calibri" w:hAnsi="Calibri" w:cs="Calibri"/>
                <w:color w:val="000000"/>
                <w:sz w:val="22"/>
                <w:szCs w:val="22"/>
              </w:rPr>
            </w:pPr>
            <w:r>
              <w:rPr>
                <w:rFonts w:cs="Calibri" w:ascii="Calibri" w:hAnsi="Calibri"/>
                <w:color w:val="000000"/>
                <w:sz w:val="22"/>
                <w:szCs w:val="22"/>
              </w:rPr>
              <w:t>19,81</w:t>
            </w:r>
          </w:p>
        </w:tc>
      </w:tr>
      <w:tr>
        <w:trPr>
          <w:trHeight w:val="300" w:hRule="atLeast"/>
        </w:trPr>
        <w:tc>
          <w:tcPr>
            <w:tcW w:w="29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color w:val="000000"/>
                <w:sz w:val="22"/>
                <w:szCs w:val="22"/>
              </w:rPr>
            </w:pPr>
            <w:r>
              <w:rPr>
                <w:rFonts w:cs="Calibri" w:ascii="Calibri" w:hAnsi="Calibri"/>
                <w:color w:val="000000"/>
                <w:sz w:val="22"/>
                <w:szCs w:val="22"/>
              </w:rPr>
              <w:t>Empolese -Valdarno Inferiore</w:t>
            </w:r>
          </w:p>
        </w:tc>
        <w:tc>
          <w:tcPr>
            <w:tcW w:w="1190" w:type="dxa"/>
            <w:tcBorders>
              <w:bottom w:val="single" w:sz="4" w:space="0" w:color="000000"/>
              <w:right w:val="single" w:sz="4" w:space="0" w:color="000000"/>
            </w:tcBorders>
            <w:shd w:color="auto" w:fill="auto" w:val="clear"/>
            <w:vAlign w:val="bottom"/>
          </w:tcPr>
          <w:p>
            <w:pPr>
              <w:pStyle w:val="Normal"/>
              <w:widowControl w:val="false"/>
              <w:suppressAutoHyphens w:val="false"/>
              <w:jc w:val="right"/>
              <w:rPr>
                <w:rFonts w:ascii="Calibri" w:hAnsi="Calibri" w:cs="Calibri"/>
                <w:color w:val="000000"/>
                <w:sz w:val="22"/>
                <w:szCs w:val="22"/>
              </w:rPr>
            </w:pPr>
            <w:r>
              <w:rPr>
                <w:rFonts w:cs="Calibri" w:ascii="Calibri" w:hAnsi="Calibri"/>
                <w:color w:val="000000"/>
                <w:sz w:val="22"/>
                <w:szCs w:val="22"/>
              </w:rPr>
              <w:t>22,85</w:t>
            </w:r>
          </w:p>
        </w:tc>
      </w:tr>
      <w:tr>
        <w:trPr>
          <w:trHeight w:val="300" w:hRule="atLeast"/>
        </w:trPr>
        <w:tc>
          <w:tcPr>
            <w:tcW w:w="29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b/>
                <w:b/>
                <w:bCs/>
                <w:i/>
                <w:i/>
                <w:iCs/>
                <w:color w:val="000000"/>
                <w:sz w:val="22"/>
                <w:szCs w:val="22"/>
              </w:rPr>
            </w:pPr>
            <w:r>
              <w:rPr>
                <w:rFonts w:cs="Calibri" w:ascii="Calibri" w:hAnsi="Calibri"/>
                <w:b/>
                <w:bCs/>
                <w:i/>
                <w:iCs/>
                <w:color w:val="000000"/>
                <w:sz w:val="22"/>
                <w:szCs w:val="22"/>
              </w:rPr>
              <w:t>Toscana</w:t>
            </w:r>
          </w:p>
        </w:tc>
        <w:tc>
          <w:tcPr>
            <w:tcW w:w="1190" w:type="dxa"/>
            <w:tcBorders>
              <w:bottom w:val="single" w:sz="4" w:space="0" w:color="000000"/>
              <w:right w:val="single" w:sz="4" w:space="0" w:color="000000"/>
            </w:tcBorders>
            <w:shd w:color="auto" w:fill="auto" w:val="clear"/>
            <w:vAlign w:val="bottom"/>
          </w:tcPr>
          <w:p>
            <w:pPr>
              <w:pStyle w:val="Normal"/>
              <w:widowControl w:val="false"/>
              <w:suppressAutoHyphens w:val="false"/>
              <w:jc w:val="right"/>
              <w:rPr>
                <w:rFonts w:ascii="Calibri" w:hAnsi="Calibri" w:cs="Calibri"/>
                <w:b/>
                <w:b/>
                <w:bCs/>
                <w:i/>
                <w:i/>
                <w:iCs/>
                <w:color w:val="000000"/>
                <w:sz w:val="22"/>
                <w:szCs w:val="22"/>
              </w:rPr>
            </w:pPr>
            <w:r>
              <w:rPr>
                <w:rFonts w:cs="Calibri" w:ascii="Calibri" w:hAnsi="Calibri"/>
                <w:b/>
                <w:bCs/>
                <w:i/>
                <w:iCs/>
                <w:color w:val="000000"/>
                <w:sz w:val="22"/>
                <w:szCs w:val="22"/>
              </w:rPr>
              <w:t>17,98</w:t>
            </w:r>
          </w:p>
        </w:tc>
      </w:tr>
    </w:tbl>
    <w:p>
      <w:pPr>
        <w:pStyle w:val="Normal"/>
        <w:spacing w:lineRule="atLeast" w:line="320" w:before="0" w:after="120"/>
        <w:jc w:val="both"/>
        <w:rPr>
          <w:rFonts w:ascii="Calibri" w:hAnsi="Calibri" w:cs="Calibri"/>
          <w:b/>
          <w:b/>
          <w:bCs/>
          <w:color w:val="000000"/>
          <w:sz w:val="22"/>
          <w:szCs w:val="22"/>
        </w:rPr>
      </w:pPr>
      <w:r>
        <w:rPr>
          <w:rFonts w:cs="Calibri" w:ascii="Calibri" w:hAnsi="Calibri"/>
          <w:b/>
          <w:bCs/>
          <w:color w:val="000000"/>
          <w:sz w:val="22"/>
          <w:szCs w:val="22"/>
        </w:rPr>
      </w:r>
    </w:p>
    <w:p>
      <w:pPr>
        <w:pStyle w:val="Normal"/>
        <w:spacing w:lineRule="atLeast" w:line="320" w:before="0" w:after="120"/>
        <w:jc w:val="both"/>
        <w:rPr>
          <w:rFonts w:ascii="Calibri" w:hAnsi="Calibri" w:cs="Calibri"/>
          <w:b/>
          <w:b/>
          <w:bCs/>
          <w:color w:val="000000"/>
          <w:sz w:val="22"/>
          <w:szCs w:val="22"/>
        </w:rPr>
      </w:pPr>
      <w:r>
        <w:rPr>
          <w:rFonts w:cs="Calibri" w:ascii="Calibri" w:hAnsi="Calibri"/>
          <w:b/>
          <w:bCs/>
          <w:color w:val="000000"/>
          <w:sz w:val="22"/>
          <w:szCs w:val="22"/>
        </w:rPr>
      </w:r>
    </w:p>
    <w:p>
      <w:pPr>
        <w:pStyle w:val="Normal"/>
        <w:spacing w:lineRule="atLeast" w:line="320" w:before="0" w:after="120"/>
        <w:jc w:val="both"/>
        <w:rPr>
          <w:rFonts w:ascii="Calibri" w:hAnsi="Calibri" w:cs="Calibri"/>
          <w:b/>
          <w:b/>
          <w:bCs/>
          <w:color w:val="000000"/>
          <w:sz w:val="22"/>
          <w:szCs w:val="22"/>
        </w:rPr>
      </w:pPr>
      <w:r>
        <w:rPr>
          <w:rFonts w:cs="Calibri" w:ascii="Calibri" w:hAnsi="Calibri"/>
          <w:b/>
          <w:bCs/>
          <w:color w:val="000000"/>
          <w:sz w:val="22"/>
          <w:szCs w:val="22"/>
        </w:rPr>
      </w:r>
    </w:p>
    <w:p>
      <w:pPr>
        <w:pStyle w:val="Normal"/>
        <w:spacing w:lineRule="atLeast" w:line="320" w:before="0" w:after="120"/>
        <w:jc w:val="both"/>
        <w:rPr>
          <w:rFonts w:ascii="Calibri" w:hAnsi="Calibri" w:cs="Calibri"/>
          <w:b/>
          <w:b/>
          <w:sz w:val="22"/>
          <w:szCs w:val="22"/>
        </w:rPr>
      </w:pPr>
      <w:r>
        <w:rPr>
          <w:rFonts w:cs="Calibri" w:ascii="Calibri" w:hAnsi="Calibri"/>
          <w:b/>
          <w:bCs/>
          <w:color w:val="000000"/>
          <w:sz w:val="22"/>
          <w:szCs w:val="22"/>
        </w:rPr>
        <w:t xml:space="preserve">Figura 4. Indicatore MES </w:t>
      </w:r>
      <w:r>
        <w:rPr>
          <w:rFonts w:cs="Calibri" w:ascii="Calibri" w:hAnsi="Calibri"/>
          <w:b/>
          <w:sz w:val="22"/>
          <w:szCs w:val="22"/>
        </w:rPr>
        <w:t>Intervallo Allarme - Target dei mezzi di soccorso per zona distretto, Toscana 2022</w:t>
      </w:r>
    </w:p>
    <w:p>
      <w:pPr>
        <w:pStyle w:val="Normal"/>
        <w:spacing w:lineRule="atLeast" w:line="320" w:before="0" w:after="120"/>
        <w:jc w:val="both"/>
        <w:rPr>
          <w:rFonts w:ascii="Calibri" w:hAnsi="Calibri" w:cs="Calibri"/>
          <w:b/>
          <w:b/>
          <w:sz w:val="22"/>
          <w:szCs w:val="22"/>
        </w:rPr>
      </w:pPr>
      <w:r>
        <w:rPr>
          <w:rFonts w:cs="Calibri" w:ascii="Calibri" w:hAnsi="Calibri"/>
          <w:b/>
          <w:sz w:val="22"/>
          <w:szCs w:val="22"/>
        </w:rPr>
      </w:r>
    </w:p>
    <w:p>
      <w:pPr>
        <w:pStyle w:val="Normal"/>
        <w:spacing w:lineRule="atLeast" w:line="320" w:before="0" w:after="120"/>
        <w:rPr>
          <w:rFonts w:ascii="Calibri" w:hAnsi="Calibri" w:cs="Calibri"/>
          <w:sz w:val="22"/>
          <w:szCs w:val="22"/>
        </w:rPr>
      </w:pPr>
      <w:r>
        <w:rPr/>
        <w:drawing>
          <wp:inline distT="0" distB="0" distL="0" distR="0">
            <wp:extent cx="6693535" cy="2940685"/>
            <wp:effectExtent l="0" t="0" r="0" b="0"/>
            <wp:docPr id="5" name="Immagine 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09" descr=""/>
                    <pic:cNvPicPr>
                      <a:picLocks noChangeAspect="1" noChangeArrowheads="1"/>
                    </pic:cNvPicPr>
                  </pic:nvPicPr>
                  <pic:blipFill>
                    <a:blip r:embed="rId6"/>
                    <a:stretch>
                      <a:fillRect/>
                    </a:stretch>
                  </pic:blipFill>
                  <pic:spPr bwMode="auto">
                    <a:xfrm>
                      <a:off x="0" y="0"/>
                      <a:ext cx="6693535" cy="2940685"/>
                    </a:xfrm>
                    <a:prstGeom prst="rect">
                      <a:avLst/>
                    </a:prstGeom>
                  </pic:spPr>
                </pic:pic>
              </a:graphicData>
            </a:graphic>
          </wp:inline>
        </w:drawing>
      </w:r>
    </w:p>
    <w:p>
      <w:pPr>
        <w:pStyle w:val="Titolo1"/>
        <w:spacing w:lineRule="atLeast" w:line="320" w:before="0" w:after="120"/>
        <w:rPr>
          <w:rFonts w:ascii="Calibri" w:hAnsi="Calibri" w:cs="Calibri"/>
          <w:caps/>
          <w:szCs w:val="24"/>
        </w:rPr>
      </w:pPr>
      <w:bookmarkStart w:id="5" w:name="_Toc152228331"/>
      <w:r>
        <w:rPr>
          <w:rFonts w:cs="Calibri" w:ascii="Calibri" w:hAnsi="Calibri"/>
          <w:caps/>
          <w:szCs w:val="24"/>
        </w:rPr>
        <w:t>2.2 OSPEDALE</w:t>
      </w:r>
      <w:bookmarkEnd w:id="5"/>
    </w:p>
    <w:p>
      <w:pPr>
        <w:pStyle w:val="Titolo2"/>
        <w:spacing w:lineRule="atLeast" w:line="320" w:before="0" w:after="120"/>
        <w:jc w:val="both"/>
        <w:rPr>
          <w:rFonts w:ascii="Calibri" w:hAnsi="Calibri" w:cs="Calibri"/>
          <w:i w:val="false"/>
          <w:i w:val="false"/>
          <w:iCs w:val="false"/>
          <w:sz w:val="22"/>
          <w:szCs w:val="22"/>
        </w:rPr>
      </w:pPr>
      <w:bookmarkStart w:id="6" w:name="_Toc152228332"/>
      <w:bookmarkStart w:id="7" w:name="_Toc40088920"/>
      <w:bookmarkEnd w:id="7"/>
      <w:r>
        <w:rPr>
          <w:rFonts w:cs="Calibri" w:ascii="Calibri" w:hAnsi="Calibri"/>
          <w:i w:val="false"/>
          <w:iCs w:val="false"/>
          <w:sz w:val="22"/>
          <w:szCs w:val="22"/>
        </w:rPr>
        <w:t>2.2.1 RICOVERI</w:t>
      </w:r>
      <w:bookmarkEnd w:id="6"/>
    </w:p>
    <w:p>
      <w:pPr>
        <w:pStyle w:val="Normal"/>
        <w:spacing w:lineRule="atLeast" w:line="320" w:before="0" w:after="120"/>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Nel corso del 2022 i ricoveri nelle strutture della ASL TC sono stati 109.499 (giornate di degenza maturate 664.910) in lieve decremento (-1%) rispetto al 2021 (Tabella 4). Questo decremento è dovuto alla diminuzione dei ricoveri ordinari (- 2%) rispetto ad un aumento del 4 % di quelli in Day Hospital. I volumi di attività restano tuttavia ancora al di sotto rispetto a quelli del 2019, quando si erano avuti oltre 128.000 ricoveri.</w:t>
      </w:r>
    </w:p>
    <w:p>
      <w:pPr>
        <w:pStyle w:val="Normal"/>
        <w:spacing w:lineRule="atLeast" w:line="320" w:before="0" w:after="120"/>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Si assiste ad un miglioramento dell’efficienza del ricovero con un calo delle degenze di circa il 5% a livello aziendale; esiste ancora una certa variabilità con performance meno buone con valori sopra i 7 giorni nelle strutture di Empoli e Prato.</w:t>
      </w:r>
    </w:p>
    <w:p>
      <w:pPr>
        <w:pStyle w:val="Normal"/>
        <w:suppressAutoHyphens w:val="false"/>
        <w:rPr>
          <w:rFonts w:ascii="Calibri" w:hAnsi="Calibri" w:cs="Arial"/>
          <w:sz w:val="22"/>
          <w:szCs w:val="22"/>
        </w:rPr>
      </w:pPr>
      <w:r>
        <w:rPr>
          <w:rFonts w:cs="Arial" w:ascii="Calibri" w:hAnsi="Calibri"/>
          <w:sz w:val="22"/>
          <w:szCs w:val="22"/>
        </w:rPr>
      </w:r>
      <w:r>
        <w:br w:type="page"/>
      </w:r>
    </w:p>
    <w:p>
      <w:pPr>
        <w:pStyle w:val="Normal"/>
        <w:spacing w:lineRule="atLeast" w:line="320" w:before="0" w:after="120"/>
        <w:jc w:val="both"/>
        <w:rPr>
          <w:rFonts w:ascii="Calibri" w:hAnsi="Calibri" w:cs="Arial"/>
          <w:sz w:val="22"/>
          <w:szCs w:val="22"/>
        </w:rPr>
      </w:pPr>
      <w:r>
        <w:rPr>
          <w:rFonts w:cs="Arial" w:ascii="Calibri" w:hAnsi="Calibri"/>
          <w:sz w:val="22"/>
          <w:szCs w:val="22"/>
        </w:rPr>
      </w:r>
    </w:p>
    <w:p>
      <w:pPr>
        <w:pStyle w:val="Normal"/>
        <w:spacing w:lineRule="atLeast" w:line="320" w:before="0" w:after="120"/>
        <w:rPr>
          <w:rFonts w:ascii="Calibri" w:hAnsi="Calibri" w:cs="Calibri"/>
          <w:b/>
          <w:b/>
          <w:bCs/>
          <w:color w:val="000000"/>
          <w:sz w:val="22"/>
          <w:szCs w:val="22"/>
        </w:rPr>
      </w:pPr>
      <w:r>
        <w:rPr>
          <w:rFonts w:cs="Calibri" w:ascii="Calibri" w:hAnsi="Calibri"/>
          <w:b/>
          <w:bCs/>
          <w:color w:val="000000"/>
          <w:sz w:val="22"/>
          <w:szCs w:val="22"/>
        </w:rPr>
        <w:t>Tabella 4. Descrittiva dei ricoveri avvenuti nelle strutture della AUSL Toscana Centro, anni 2021-2022</w:t>
      </w:r>
    </w:p>
    <w:p>
      <w:pPr>
        <w:pStyle w:val="Normal"/>
        <w:jc w:val="both"/>
        <w:rPr>
          <w:rFonts w:ascii="Calibri" w:hAnsi="Calibri" w:cs="Arial"/>
          <w:sz w:val="18"/>
          <w:szCs w:val="18"/>
        </w:rPr>
      </w:pPr>
      <w:r>
        <w:rPr>
          <w:rFonts w:cs="Arial" w:ascii="Calibri" w:hAnsi="Calibri"/>
          <w:sz w:val="18"/>
          <w:szCs w:val="18"/>
        </w:rPr>
        <w:t>Fonte: Web Application Budget di AUTC Export dati del 14/06/2023 10.52.53, Tipo DRG: Tutti Regime: Tutti (righe separate Ordinari e D.H.), Ambito: Tutte, Zona: Tutte, Dipartimento: Tutte, Area: Tutte, Struttura: Tutte, Reparto: Tutti Anni: 2021 e 2022. Periodo: gennaio-dicembre</w:t>
      </w:r>
    </w:p>
    <w:p>
      <w:pPr>
        <w:pStyle w:val="Normal"/>
        <w:spacing w:lineRule="atLeast" w:line="320" w:before="0" w:after="120"/>
        <w:rPr>
          <w:color w:val="000000"/>
        </w:rPr>
      </w:pPr>
      <w:r>
        <w:rPr>
          <w:color w:val="000000"/>
        </w:rPr>
      </w:r>
    </w:p>
    <w:tbl>
      <w:tblPr>
        <w:tblStyle w:val="Tabellagriglia4-colore51"/>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631"/>
        <w:gridCol w:w="2432"/>
        <w:gridCol w:w="653"/>
        <w:gridCol w:w="679"/>
        <w:gridCol w:w="731"/>
        <w:gridCol w:w="678"/>
        <w:gridCol w:w="876"/>
        <w:gridCol w:w="677"/>
        <w:gridCol w:w="732"/>
        <w:gridCol w:w="678"/>
        <w:gridCol w:w="869"/>
      </w:tblGrid>
      <w:tr>
        <w:trPr>
          <w:trHeight w:val="200" w:hRule="atLeast"/>
        </w:trPr>
        <w:tc>
          <w:tcPr>
            <w:tcW w:w="631" w:type="dxa"/>
            <w:vMerge w:val="restart"/>
            <w:tcBorders/>
          </w:tcPr>
          <w:p>
            <w:pPr>
              <w:pStyle w:val="Normal"/>
              <w:widowControl/>
              <w:suppressAutoHyphens w:val="false"/>
              <w:spacing w:before="0" w:after="0"/>
              <w:jc w:val="center"/>
              <w:rPr>
                <w:rFonts w:cs="Calibri"/>
                <w:b/>
                <w:b/>
                <w:bCs/>
                <w:color w:val="000000"/>
                <w:sz w:val="14"/>
                <w:szCs w:val="16"/>
              </w:rPr>
            </w:pPr>
            <w:r>
              <w:rPr>
                <w:rFonts w:eastAsia="Times New Roman" w:cs="Calibri" w:ascii="Calibri" w:hAnsi="Calibri"/>
                <w:b/>
                <w:bCs/>
                <w:color w:val="000000"/>
                <w:kern w:val="0"/>
                <w:sz w:val="14"/>
                <w:szCs w:val="16"/>
                <w:lang w:val="it-IT" w:eastAsia="en-US" w:bidi="ar-SA"/>
              </w:rPr>
              <w:t>Zona</w:t>
            </w:r>
          </w:p>
        </w:tc>
        <w:tc>
          <w:tcPr>
            <w:tcW w:w="2432" w:type="dxa"/>
            <w:vMerge w:val="restart"/>
            <w:tcBorders/>
          </w:tcPr>
          <w:p>
            <w:pPr>
              <w:pStyle w:val="Normal"/>
              <w:widowControl/>
              <w:suppressAutoHyphens w:val="false"/>
              <w:spacing w:before="0" w:after="0"/>
              <w:jc w:val="center"/>
              <w:rPr>
                <w:rFonts w:cs="Calibri"/>
                <w:b/>
                <w:b/>
                <w:bCs/>
                <w:color w:val="000000"/>
                <w:sz w:val="14"/>
                <w:szCs w:val="16"/>
              </w:rPr>
            </w:pPr>
            <w:r>
              <w:rPr>
                <w:rFonts w:eastAsia="Times New Roman" w:cs="Calibri" w:ascii="Calibri" w:hAnsi="Calibri"/>
                <w:b/>
                <w:bCs/>
                <w:color w:val="000000"/>
                <w:kern w:val="0"/>
                <w:sz w:val="14"/>
                <w:szCs w:val="16"/>
                <w:lang w:val="it-IT" w:eastAsia="en-US" w:bidi="ar-SA"/>
              </w:rPr>
              <w:t>Presidio</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2964" w:type="dxa"/>
            <w:gridSpan w:val="4"/>
            <w:tcBorders/>
          </w:tcPr>
          <w:p>
            <w:pPr>
              <w:pStyle w:val="Normal"/>
              <w:widowControl/>
              <w:suppressAutoHyphens w:val="false"/>
              <w:spacing w:before="0" w:after="0"/>
              <w:jc w:val="center"/>
              <w:rPr>
                <w:rFonts w:cs="Calibri"/>
                <w:color w:val="000000"/>
                <w:sz w:val="14"/>
                <w:szCs w:val="16"/>
              </w:rPr>
            </w:pPr>
            <w:r>
              <w:rPr>
                <w:rFonts w:eastAsia="Times New Roman" w:cs="Calibri" w:ascii="Calibri" w:hAnsi="Calibri"/>
                <w:color w:val="000000"/>
                <w:kern w:val="0"/>
                <w:sz w:val="14"/>
                <w:szCs w:val="16"/>
                <w:lang w:val="it-IT" w:eastAsia="en-US" w:bidi="ar-SA"/>
              </w:rPr>
              <w:t>2022</w:t>
            </w:r>
          </w:p>
        </w:tc>
        <w:tc>
          <w:tcPr>
            <w:tcW w:w="2956" w:type="dxa"/>
            <w:gridSpan w:val="4"/>
            <w:tcBorders/>
          </w:tcPr>
          <w:p>
            <w:pPr>
              <w:pStyle w:val="Normal"/>
              <w:widowControl/>
              <w:suppressAutoHyphens w:val="false"/>
              <w:spacing w:before="0" w:after="0"/>
              <w:jc w:val="center"/>
              <w:rPr>
                <w:rFonts w:cs="Calibri"/>
                <w:color w:val="000000"/>
                <w:sz w:val="14"/>
                <w:szCs w:val="16"/>
              </w:rPr>
            </w:pPr>
            <w:r>
              <w:rPr>
                <w:rFonts w:eastAsia="Times New Roman" w:cs="Calibri" w:ascii="Calibri" w:hAnsi="Calibri"/>
                <w:color w:val="000000"/>
                <w:kern w:val="0"/>
                <w:sz w:val="14"/>
                <w:szCs w:val="16"/>
                <w:lang w:val="it-IT" w:eastAsia="en-US" w:bidi="ar-SA"/>
              </w:rPr>
              <w:t>2021</w:t>
            </w:r>
          </w:p>
        </w:tc>
      </w:tr>
      <w:tr>
        <w:trPr>
          <w:trHeight w:val="300" w:hRule="atLeast"/>
        </w:trPr>
        <w:tc>
          <w:tcPr>
            <w:tcW w:w="631" w:type="dxa"/>
            <w:vMerge w:val="continue"/>
            <w:tcBorders/>
          </w:tcPr>
          <w:p>
            <w:pPr>
              <w:pStyle w:val="Normal"/>
              <w:widowControl/>
              <w:suppressAutoHyphens w:val="false"/>
              <w:spacing w:before="0" w:after="0"/>
              <w:jc w:val="left"/>
              <w:rPr>
                <w:rFonts w:cs="Calibri"/>
                <w:b/>
                <w:b/>
                <w:bCs/>
                <w:color w:val="000000"/>
                <w:sz w:val="14"/>
                <w:szCs w:val="16"/>
              </w:rPr>
            </w:pPr>
            <w:r>
              <w:rPr>
                <w:rFonts w:eastAsia="Times New Roman" w:cs="Calibri"/>
                <w:b/>
                <w:bCs/>
                <w:color w:val="000000"/>
                <w:kern w:val="0"/>
                <w:sz w:val="14"/>
                <w:szCs w:val="16"/>
                <w:lang w:val="it-IT" w:eastAsia="en-US" w:bidi="ar-SA"/>
              </w:rPr>
            </w:r>
          </w:p>
        </w:tc>
        <w:tc>
          <w:tcPr>
            <w:tcW w:w="2432" w:type="dxa"/>
            <w:vMerge w:val="continue"/>
            <w:tcBorders/>
          </w:tcPr>
          <w:p>
            <w:pPr>
              <w:pStyle w:val="Normal"/>
              <w:widowControl/>
              <w:suppressAutoHyphens w:val="false"/>
              <w:spacing w:before="0" w:after="0"/>
              <w:jc w:val="left"/>
              <w:rPr>
                <w:rFonts w:cs="Calibri"/>
                <w:b/>
                <w:b/>
                <w:bCs/>
                <w:color w:val="000000"/>
                <w:sz w:val="14"/>
                <w:szCs w:val="16"/>
              </w:rPr>
            </w:pPr>
            <w:r>
              <w:rPr>
                <w:rFonts w:eastAsia="Times New Roman" w:cs="Calibri"/>
                <w:b/>
                <w:bCs/>
                <w:color w:val="000000"/>
                <w:kern w:val="0"/>
                <w:sz w:val="14"/>
                <w:szCs w:val="16"/>
                <w:lang w:val="it-IT" w:eastAsia="en-US" w:bidi="ar-SA"/>
              </w:rPr>
            </w:r>
          </w:p>
        </w:tc>
        <w:tc>
          <w:tcPr>
            <w:tcW w:w="653" w:type="dxa"/>
            <w:vMerge w:val="restart"/>
            <w:tcBorders/>
          </w:tcPr>
          <w:p>
            <w:pPr>
              <w:pStyle w:val="Normal"/>
              <w:widowControl/>
              <w:suppressAutoHyphens w:val="false"/>
              <w:spacing w:before="0" w:after="0"/>
              <w:jc w:val="center"/>
              <w:rPr>
                <w:rFonts w:cs="Calibri"/>
                <w:b/>
                <w:b/>
                <w:bCs/>
                <w:color w:val="000000"/>
                <w:sz w:val="14"/>
                <w:szCs w:val="16"/>
              </w:rPr>
            </w:pPr>
            <w:r>
              <w:rPr>
                <w:rFonts w:eastAsia="Times New Roman" w:cs="Calibri" w:ascii="Calibri" w:hAnsi="Calibri"/>
                <w:b/>
                <w:bCs/>
                <w:color w:val="000000"/>
                <w:kern w:val="0"/>
                <w:sz w:val="14"/>
                <w:szCs w:val="16"/>
                <w:lang w:val="it-IT" w:eastAsia="en-US" w:bidi="ar-SA"/>
              </w:rPr>
              <w:t>Regime</w:t>
            </w:r>
          </w:p>
        </w:tc>
        <w:tc>
          <w:tcPr>
            <w:tcW w:w="679" w:type="dxa"/>
            <w:vMerge w:val="restart"/>
            <w:tcBorders/>
          </w:tcPr>
          <w:p>
            <w:pPr>
              <w:pStyle w:val="Normal"/>
              <w:widowControl/>
              <w:suppressAutoHyphens w:val="false"/>
              <w:spacing w:before="0" w:after="0"/>
              <w:jc w:val="center"/>
              <w:rPr>
                <w:rFonts w:cs="Calibri"/>
                <w:b/>
                <w:b/>
                <w:bCs/>
                <w:color w:val="000000"/>
                <w:sz w:val="14"/>
                <w:szCs w:val="16"/>
              </w:rPr>
            </w:pPr>
            <w:r>
              <w:rPr>
                <w:rFonts w:eastAsia="Times New Roman" w:cs="Calibri" w:ascii="Calibri" w:hAnsi="Calibri"/>
                <w:b/>
                <w:bCs/>
                <w:color w:val="000000"/>
                <w:kern w:val="0"/>
                <w:sz w:val="14"/>
                <w:szCs w:val="16"/>
                <w:lang w:val="it-IT" w:eastAsia="en-US" w:bidi="ar-SA"/>
              </w:rPr>
              <w:t>Numero</w:t>
              <w:br/>
              <w:t>Ricoveri</w:t>
            </w:r>
          </w:p>
        </w:tc>
        <w:tc>
          <w:tcPr>
            <w:tcW w:w="731" w:type="dxa"/>
            <w:vMerge w:val="restart"/>
            <w:tcBorders/>
          </w:tcPr>
          <w:p>
            <w:pPr>
              <w:pStyle w:val="Normal"/>
              <w:widowControl/>
              <w:suppressAutoHyphens w:val="false"/>
              <w:spacing w:before="0" w:after="0"/>
              <w:jc w:val="center"/>
              <w:rPr>
                <w:rFonts w:cs="Calibri"/>
                <w:b/>
                <w:b/>
                <w:bCs/>
                <w:color w:val="000000"/>
                <w:sz w:val="14"/>
                <w:szCs w:val="16"/>
              </w:rPr>
            </w:pPr>
            <w:r>
              <w:rPr>
                <w:rFonts w:eastAsia="Times New Roman" w:cs="Calibri" w:ascii="Calibri" w:hAnsi="Calibri"/>
                <w:b/>
                <w:bCs/>
                <w:color w:val="000000"/>
                <w:kern w:val="0"/>
                <w:sz w:val="14"/>
                <w:szCs w:val="16"/>
                <w:lang w:val="it-IT" w:eastAsia="en-US" w:bidi="ar-SA"/>
              </w:rPr>
              <w:t>Giornate</w:t>
              <w:br/>
              <w:t>maturate</w:t>
            </w:r>
          </w:p>
        </w:tc>
        <w:tc>
          <w:tcPr>
            <w:tcW w:w="678" w:type="dxa"/>
            <w:vMerge w:val="restart"/>
            <w:tcBorders/>
          </w:tcPr>
          <w:p>
            <w:pPr>
              <w:pStyle w:val="Normal"/>
              <w:widowControl/>
              <w:suppressAutoHyphens w:val="false"/>
              <w:spacing w:before="0" w:after="0"/>
              <w:jc w:val="center"/>
              <w:rPr>
                <w:rFonts w:cs="Calibri"/>
                <w:b/>
                <w:b/>
                <w:bCs/>
                <w:color w:val="000000"/>
                <w:sz w:val="14"/>
                <w:szCs w:val="16"/>
              </w:rPr>
            </w:pPr>
            <w:r>
              <w:rPr>
                <w:rFonts w:eastAsia="Times New Roman" w:cs="Calibri" w:ascii="Calibri" w:hAnsi="Calibri"/>
                <w:b/>
                <w:bCs/>
                <w:color w:val="000000"/>
                <w:kern w:val="0"/>
                <w:sz w:val="14"/>
                <w:szCs w:val="16"/>
                <w:lang w:val="it-IT" w:eastAsia="en-US" w:bidi="ar-SA"/>
              </w:rPr>
              <w:t>Degenza</w:t>
              <w:br/>
              <w:t>media</w:t>
            </w:r>
          </w:p>
        </w:tc>
        <w:tc>
          <w:tcPr>
            <w:tcW w:w="876" w:type="dxa"/>
            <w:vMerge w:val="restart"/>
            <w:tcBorders/>
          </w:tcPr>
          <w:p>
            <w:pPr>
              <w:pStyle w:val="Normal"/>
              <w:widowControl/>
              <w:suppressAutoHyphens w:val="false"/>
              <w:spacing w:before="0" w:after="0"/>
              <w:jc w:val="center"/>
              <w:rPr>
                <w:rFonts w:cs="Calibri"/>
                <w:b/>
                <w:b/>
                <w:bCs/>
                <w:color w:val="000000"/>
                <w:sz w:val="14"/>
                <w:szCs w:val="16"/>
              </w:rPr>
            </w:pPr>
            <w:r>
              <w:rPr>
                <w:rFonts w:eastAsia="Times New Roman" w:cs="Calibri" w:ascii="Calibri" w:hAnsi="Calibri"/>
                <w:b/>
                <w:bCs/>
                <w:color w:val="000000"/>
                <w:kern w:val="0"/>
                <w:sz w:val="14"/>
                <w:szCs w:val="16"/>
                <w:lang w:val="it-IT" w:eastAsia="en-US" w:bidi="ar-SA"/>
              </w:rPr>
              <w:t>Peso medio</w:t>
              <w:br/>
              <w:t>DRG</w:t>
            </w:r>
          </w:p>
        </w:tc>
        <w:tc>
          <w:tcPr>
            <w:tcW w:w="677" w:type="dxa"/>
            <w:vMerge w:val="restart"/>
            <w:tcBorders/>
          </w:tcPr>
          <w:p>
            <w:pPr>
              <w:pStyle w:val="Normal"/>
              <w:widowControl/>
              <w:suppressAutoHyphens w:val="false"/>
              <w:spacing w:before="0" w:after="0"/>
              <w:jc w:val="center"/>
              <w:rPr>
                <w:rFonts w:cs="Calibri"/>
                <w:b/>
                <w:b/>
                <w:bCs/>
                <w:color w:val="000000"/>
                <w:sz w:val="14"/>
                <w:szCs w:val="16"/>
              </w:rPr>
            </w:pPr>
            <w:r>
              <w:rPr>
                <w:rFonts w:eastAsia="Times New Roman" w:cs="Calibri" w:ascii="Calibri" w:hAnsi="Calibri"/>
                <w:b/>
                <w:bCs/>
                <w:color w:val="000000"/>
                <w:kern w:val="0"/>
                <w:sz w:val="14"/>
                <w:szCs w:val="16"/>
                <w:lang w:val="it-IT" w:eastAsia="en-US" w:bidi="ar-SA"/>
              </w:rPr>
              <w:t>Numero</w:t>
              <w:br/>
              <w:t>Ricoveri</w:t>
            </w:r>
          </w:p>
        </w:tc>
        <w:tc>
          <w:tcPr>
            <w:tcW w:w="732" w:type="dxa"/>
            <w:vMerge w:val="restart"/>
            <w:tcBorders/>
          </w:tcPr>
          <w:p>
            <w:pPr>
              <w:pStyle w:val="Normal"/>
              <w:widowControl/>
              <w:suppressAutoHyphens w:val="false"/>
              <w:spacing w:before="0" w:after="0"/>
              <w:jc w:val="center"/>
              <w:rPr>
                <w:rFonts w:cs="Calibri"/>
                <w:b/>
                <w:b/>
                <w:bCs/>
                <w:color w:val="000000"/>
                <w:sz w:val="14"/>
                <w:szCs w:val="16"/>
              </w:rPr>
            </w:pPr>
            <w:r>
              <w:rPr>
                <w:rFonts w:eastAsia="Times New Roman" w:cs="Calibri" w:ascii="Calibri" w:hAnsi="Calibri"/>
                <w:b/>
                <w:bCs/>
                <w:color w:val="000000"/>
                <w:kern w:val="0"/>
                <w:sz w:val="14"/>
                <w:szCs w:val="16"/>
                <w:lang w:val="it-IT" w:eastAsia="en-US" w:bidi="ar-SA"/>
              </w:rPr>
              <w:t>Giornate</w:t>
              <w:br/>
              <w:t>maturate</w:t>
            </w:r>
          </w:p>
        </w:tc>
        <w:tc>
          <w:tcPr>
            <w:tcW w:w="678" w:type="dxa"/>
            <w:vMerge w:val="restart"/>
            <w:tcBorders/>
          </w:tcPr>
          <w:p>
            <w:pPr>
              <w:pStyle w:val="Normal"/>
              <w:widowControl/>
              <w:suppressAutoHyphens w:val="false"/>
              <w:spacing w:before="0" w:after="0"/>
              <w:jc w:val="center"/>
              <w:rPr>
                <w:rFonts w:cs="Calibri"/>
                <w:b/>
                <w:b/>
                <w:bCs/>
                <w:color w:val="000000"/>
                <w:sz w:val="14"/>
                <w:szCs w:val="16"/>
              </w:rPr>
            </w:pPr>
            <w:r>
              <w:rPr>
                <w:rFonts w:eastAsia="Times New Roman" w:cs="Calibri" w:ascii="Calibri" w:hAnsi="Calibri"/>
                <w:b/>
                <w:bCs/>
                <w:color w:val="000000"/>
                <w:kern w:val="0"/>
                <w:sz w:val="14"/>
                <w:szCs w:val="16"/>
                <w:lang w:val="it-IT" w:eastAsia="en-US" w:bidi="ar-SA"/>
              </w:rPr>
              <w:t>Degenza</w:t>
              <w:br/>
              <w:t>media</w:t>
            </w:r>
          </w:p>
        </w:tc>
        <w:tc>
          <w:tcPr>
            <w:tcW w:w="869" w:type="dxa"/>
            <w:vMerge w:val="restart"/>
            <w:tcBorders/>
          </w:tcPr>
          <w:p>
            <w:pPr>
              <w:pStyle w:val="Normal"/>
              <w:widowControl/>
              <w:suppressAutoHyphens w:val="false"/>
              <w:spacing w:before="0" w:after="0"/>
              <w:jc w:val="center"/>
              <w:rPr>
                <w:rFonts w:cs="Calibri"/>
                <w:b/>
                <w:b/>
                <w:bCs/>
                <w:color w:val="000000"/>
                <w:sz w:val="14"/>
                <w:szCs w:val="16"/>
              </w:rPr>
            </w:pPr>
            <w:r>
              <w:rPr>
                <w:rFonts w:eastAsia="Times New Roman" w:cs="Calibri" w:ascii="Calibri" w:hAnsi="Calibri"/>
                <w:b/>
                <w:bCs/>
                <w:color w:val="000000"/>
                <w:kern w:val="0"/>
                <w:sz w:val="14"/>
                <w:szCs w:val="16"/>
                <w:lang w:val="it-IT" w:eastAsia="en-US" w:bidi="ar-SA"/>
              </w:rPr>
              <w:t>Peso medio</w:t>
              <w:br/>
              <w:t>DRG</w:t>
            </w:r>
          </w:p>
        </w:tc>
      </w:tr>
      <w:tr>
        <w:trPr>
          <w:trHeight w:val="276" w:hRule="atLeast"/>
        </w:trPr>
        <w:tc>
          <w:tcPr>
            <w:tcW w:w="631" w:type="dxa"/>
            <w:vMerge w:val="continue"/>
            <w:tcBorders/>
          </w:tcPr>
          <w:p>
            <w:pPr>
              <w:pStyle w:val="Normal"/>
              <w:widowControl/>
              <w:suppressAutoHyphens w:val="false"/>
              <w:spacing w:before="0" w:after="0"/>
              <w:jc w:val="left"/>
              <w:rPr>
                <w:rFonts w:cs="Calibri"/>
                <w:b/>
                <w:b/>
                <w:bCs/>
                <w:color w:val="000000"/>
                <w:sz w:val="14"/>
                <w:szCs w:val="16"/>
              </w:rPr>
            </w:pPr>
            <w:r>
              <w:rPr>
                <w:rFonts w:eastAsia="Times New Roman" w:cs="Calibri"/>
                <w:b/>
                <w:bCs/>
                <w:color w:val="000000"/>
                <w:kern w:val="0"/>
                <w:sz w:val="14"/>
                <w:szCs w:val="16"/>
                <w:lang w:val="it-IT" w:eastAsia="en-US" w:bidi="ar-SA"/>
              </w:rPr>
            </w:r>
          </w:p>
        </w:tc>
        <w:tc>
          <w:tcPr>
            <w:tcW w:w="2432" w:type="dxa"/>
            <w:vMerge w:val="continue"/>
            <w:tcBorders/>
          </w:tcPr>
          <w:p>
            <w:pPr>
              <w:pStyle w:val="Normal"/>
              <w:widowControl/>
              <w:suppressAutoHyphens w:val="false"/>
              <w:spacing w:before="0" w:after="0"/>
              <w:jc w:val="left"/>
              <w:rPr>
                <w:rFonts w:cs="Calibri"/>
                <w:b/>
                <w:b/>
                <w:bCs/>
                <w:color w:val="000000"/>
                <w:sz w:val="14"/>
                <w:szCs w:val="16"/>
              </w:rPr>
            </w:pPr>
            <w:r>
              <w:rPr>
                <w:rFonts w:eastAsia="Times New Roman" w:cs="Calibri"/>
                <w:b/>
                <w:bCs/>
                <w:color w:val="000000"/>
                <w:kern w:val="0"/>
                <w:sz w:val="14"/>
                <w:szCs w:val="16"/>
                <w:lang w:val="it-IT" w:eastAsia="en-US" w:bidi="ar-SA"/>
              </w:rPr>
            </w:r>
          </w:p>
        </w:tc>
        <w:tc>
          <w:tcPr>
            <w:tcW w:w="653" w:type="dxa"/>
            <w:vMerge w:val="continue"/>
            <w:tcBorders/>
          </w:tcPr>
          <w:p>
            <w:pPr>
              <w:pStyle w:val="Normal"/>
              <w:widowControl/>
              <w:suppressAutoHyphens w:val="false"/>
              <w:spacing w:before="0" w:after="0"/>
              <w:jc w:val="left"/>
              <w:rPr>
                <w:rFonts w:cs="Calibri"/>
                <w:b/>
                <w:b/>
                <w:bCs/>
                <w:color w:val="000000"/>
                <w:sz w:val="14"/>
                <w:szCs w:val="16"/>
              </w:rPr>
            </w:pPr>
            <w:r>
              <w:rPr>
                <w:rFonts w:eastAsia="Times New Roman" w:cs="Calibri"/>
                <w:b/>
                <w:bCs/>
                <w:color w:val="000000"/>
                <w:kern w:val="0"/>
                <w:sz w:val="14"/>
                <w:szCs w:val="16"/>
                <w:lang w:val="it-IT" w:eastAsia="en-US" w:bidi="ar-SA"/>
              </w:rPr>
            </w:r>
          </w:p>
        </w:tc>
        <w:tc>
          <w:tcPr>
            <w:tcW w:w="679" w:type="dxa"/>
            <w:vMerge w:val="continue"/>
            <w:tcBorders/>
          </w:tcPr>
          <w:p>
            <w:pPr>
              <w:pStyle w:val="Normal"/>
              <w:widowControl/>
              <w:suppressAutoHyphens w:val="false"/>
              <w:spacing w:before="0" w:after="0"/>
              <w:jc w:val="left"/>
              <w:rPr>
                <w:rFonts w:cs="Calibri"/>
                <w:b/>
                <w:b/>
                <w:bCs/>
                <w:color w:val="000000"/>
                <w:sz w:val="14"/>
                <w:szCs w:val="16"/>
              </w:rPr>
            </w:pPr>
            <w:r>
              <w:rPr>
                <w:rFonts w:eastAsia="Times New Roman" w:cs="Calibri"/>
                <w:b/>
                <w:bCs/>
                <w:color w:val="000000"/>
                <w:kern w:val="0"/>
                <w:sz w:val="14"/>
                <w:szCs w:val="16"/>
                <w:lang w:val="it-IT" w:eastAsia="en-US" w:bidi="ar-SA"/>
              </w:rPr>
            </w:r>
          </w:p>
        </w:tc>
        <w:tc>
          <w:tcPr>
            <w:tcW w:w="731" w:type="dxa"/>
            <w:vMerge w:val="continue"/>
            <w:tcBorders/>
          </w:tcPr>
          <w:p>
            <w:pPr>
              <w:pStyle w:val="Normal"/>
              <w:widowControl/>
              <w:suppressAutoHyphens w:val="false"/>
              <w:spacing w:before="0" w:after="0"/>
              <w:jc w:val="left"/>
              <w:rPr>
                <w:rFonts w:cs="Calibri"/>
                <w:b/>
                <w:b/>
                <w:bCs/>
                <w:color w:val="000000"/>
                <w:sz w:val="14"/>
                <w:szCs w:val="16"/>
              </w:rPr>
            </w:pPr>
            <w:r>
              <w:rPr>
                <w:rFonts w:eastAsia="Times New Roman" w:cs="Calibri"/>
                <w:b/>
                <w:bCs/>
                <w:color w:val="000000"/>
                <w:kern w:val="0"/>
                <w:sz w:val="14"/>
                <w:szCs w:val="16"/>
                <w:lang w:val="it-IT" w:eastAsia="en-US" w:bidi="ar-SA"/>
              </w:rPr>
            </w:r>
          </w:p>
        </w:tc>
        <w:tc>
          <w:tcPr>
            <w:tcW w:w="678" w:type="dxa"/>
            <w:vMerge w:val="continue"/>
            <w:tcBorders/>
          </w:tcPr>
          <w:p>
            <w:pPr>
              <w:pStyle w:val="Normal"/>
              <w:widowControl/>
              <w:suppressAutoHyphens w:val="false"/>
              <w:spacing w:before="0" w:after="0"/>
              <w:jc w:val="left"/>
              <w:rPr>
                <w:rFonts w:cs="Calibri"/>
                <w:b/>
                <w:b/>
                <w:bCs/>
                <w:color w:val="000000"/>
                <w:sz w:val="14"/>
                <w:szCs w:val="16"/>
              </w:rPr>
            </w:pPr>
            <w:r>
              <w:rPr>
                <w:rFonts w:eastAsia="Times New Roman" w:cs="Calibri"/>
                <w:b/>
                <w:bCs/>
                <w:color w:val="000000"/>
                <w:kern w:val="0"/>
                <w:sz w:val="14"/>
                <w:szCs w:val="16"/>
                <w:lang w:val="it-IT" w:eastAsia="en-US" w:bidi="ar-SA"/>
              </w:rPr>
            </w:r>
          </w:p>
        </w:tc>
        <w:tc>
          <w:tcPr>
            <w:tcW w:w="876" w:type="dxa"/>
            <w:vMerge w:val="continue"/>
            <w:tcBorders/>
          </w:tcPr>
          <w:p>
            <w:pPr>
              <w:pStyle w:val="Normal"/>
              <w:widowControl/>
              <w:suppressAutoHyphens w:val="false"/>
              <w:spacing w:before="0" w:after="0"/>
              <w:jc w:val="left"/>
              <w:rPr>
                <w:rFonts w:cs="Calibri"/>
                <w:b/>
                <w:b/>
                <w:bCs/>
                <w:color w:val="000000"/>
                <w:sz w:val="14"/>
                <w:szCs w:val="16"/>
              </w:rPr>
            </w:pPr>
            <w:r>
              <w:rPr>
                <w:rFonts w:eastAsia="Times New Roman" w:cs="Calibri"/>
                <w:b/>
                <w:bCs/>
                <w:color w:val="000000"/>
                <w:kern w:val="0"/>
                <w:sz w:val="14"/>
                <w:szCs w:val="16"/>
                <w:lang w:val="it-IT" w:eastAsia="en-US" w:bidi="ar-SA"/>
              </w:rPr>
            </w:r>
          </w:p>
        </w:tc>
        <w:tc>
          <w:tcPr>
            <w:tcW w:w="677" w:type="dxa"/>
            <w:vMerge w:val="continue"/>
            <w:tcBorders/>
          </w:tcPr>
          <w:p>
            <w:pPr>
              <w:pStyle w:val="Normal"/>
              <w:widowControl/>
              <w:suppressAutoHyphens w:val="false"/>
              <w:spacing w:before="0" w:after="0"/>
              <w:jc w:val="left"/>
              <w:rPr>
                <w:rFonts w:cs="Calibri"/>
                <w:b/>
                <w:b/>
                <w:bCs/>
                <w:color w:val="000000"/>
                <w:sz w:val="14"/>
                <w:szCs w:val="16"/>
              </w:rPr>
            </w:pPr>
            <w:r>
              <w:rPr>
                <w:rFonts w:eastAsia="Times New Roman" w:cs="Calibri"/>
                <w:b/>
                <w:bCs/>
                <w:color w:val="000000"/>
                <w:kern w:val="0"/>
                <w:sz w:val="14"/>
                <w:szCs w:val="16"/>
                <w:lang w:val="it-IT" w:eastAsia="en-US" w:bidi="ar-SA"/>
              </w:rPr>
            </w:r>
          </w:p>
        </w:tc>
        <w:tc>
          <w:tcPr>
            <w:tcW w:w="732" w:type="dxa"/>
            <w:vMerge w:val="continue"/>
            <w:tcBorders/>
          </w:tcPr>
          <w:p>
            <w:pPr>
              <w:pStyle w:val="Normal"/>
              <w:widowControl/>
              <w:suppressAutoHyphens w:val="false"/>
              <w:spacing w:before="0" w:after="0"/>
              <w:jc w:val="left"/>
              <w:rPr>
                <w:rFonts w:cs="Calibri"/>
                <w:b/>
                <w:b/>
                <w:bCs/>
                <w:color w:val="000000"/>
                <w:sz w:val="14"/>
                <w:szCs w:val="16"/>
              </w:rPr>
            </w:pPr>
            <w:r>
              <w:rPr>
                <w:rFonts w:eastAsia="Times New Roman" w:cs="Calibri"/>
                <w:b/>
                <w:bCs/>
                <w:color w:val="000000"/>
                <w:kern w:val="0"/>
                <w:sz w:val="14"/>
                <w:szCs w:val="16"/>
                <w:lang w:val="it-IT" w:eastAsia="en-US" w:bidi="ar-SA"/>
              </w:rPr>
            </w:r>
          </w:p>
        </w:tc>
        <w:tc>
          <w:tcPr>
            <w:tcW w:w="678" w:type="dxa"/>
            <w:vMerge w:val="continue"/>
            <w:tcBorders/>
          </w:tcPr>
          <w:p>
            <w:pPr>
              <w:pStyle w:val="Normal"/>
              <w:widowControl/>
              <w:suppressAutoHyphens w:val="false"/>
              <w:spacing w:before="0" w:after="0"/>
              <w:jc w:val="left"/>
              <w:rPr>
                <w:rFonts w:cs="Calibri"/>
                <w:b/>
                <w:b/>
                <w:bCs/>
                <w:color w:val="000000"/>
                <w:sz w:val="14"/>
                <w:szCs w:val="16"/>
              </w:rPr>
            </w:pPr>
            <w:r>
              <w:rPr>
                <w:rFonts w:eastAsia="Times New Roman" w:cs="Calibri"/>
                <w:b/>
                <w:bCs/>
                <w:color w:val="000000"/>
                <w:kern w:val="0"/>
                <w:sz w:val="14"/>
                <w:szCs w:val="16"/>
                <w:lang w:val="it-IT" w:eastAsia="en-US" w:bidi="ar-SA"/>
              </w:rPr>
            </w:r>
          </w:p>
        </w:tc>
        <w:tc>
          <w:tcPr>
            <w:tcW w:w="869" w:type="dxa"/>
            <w:vMerge w:val="continue"/>
            <w:tcBorders/>
          </w:tcPr>
          <w:p>
            <w:pPr>
              <w:pStyle w:val="Normal"/>
              <w:widowControl/>
              <w:suppressAutoHyphens w:val="false"/>
              <w:spacing w:before="0" w:after="0"/>
              <w:jc w:val="left"/>
              <w:rPr>
                <w:rFonts w:cs="Calibri"/>
                <w:b/>
                <w:b/>
                <w:bCs/>
                <w:color w:val="000000"/>
                <w:sz w:val="14"/>
                <w:szCs w:val="16"/>
              </w:rPr>
            </w:pPr>
            <w:r>
              <w:rPr>
                <w:rFonts w:eastAsia="Times New Roman" w:cs="Calibri"/>
                <w:b/>
                <w:bCs/>
                <w:color w:val="000000"/>
                <w:kern w:val="0"/>
                <w:sz w:val="14"/>
                <w:szCs w:val="16"/>
                <w:lang w:val="it-IT" w:eastAsia="en-US" w:bidi="ar-SA"/>
              </w:rPr>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Ospedale S. Giuseppe</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Ord.</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13.921</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101.784</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7,31</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0,88</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13.508</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102.582</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7,59</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0,94</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Ospedale S. Giuseppe</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D.H.</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2.107</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7.651</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0,45</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2.025</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7.955</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0,48</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Ospedale San Pietro Igneo</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Ord.</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503</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2.187</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4,35</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2,04</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832</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6.493</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7,8</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1,62</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Ospedale San Pietro Igneo</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D.H.</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280</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280</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0,66</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151</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151</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0,54</w:t>
            </w:r>
          </w:p>
        </w:tc>
      </w:tr>
      <w:tr>
        <w:trPr>
          <w:trHeight w:val="300" w:hRule="atLeast"/>
        </w:trPr>
        <w:tc>
          <w:tcPr>
            <w:tcW w:w="631" w:type="dxa"/>
            <w:vMerge w:val="restart"/>
            <w:tcBorders/>
          </w:tcPr>
          <w:p>
            <w:pPr>
              <w:pStyle w:val="Normal"/>
              <w:widowControl/>
              <w:suppressAutoHyphens w:val="false"/>
              <w:spacing w:before="0" w:after="0"/>
              <w:jc w:val="center"/>
              <w:rPr>
                <w:rFonts w:cs="Calibri"/>
                <w:color w:val="000000"/>
                <w:sz w:val="14"/>
                <w:szCs w:val="16"/>
              </w:rPr>
            </w:pPr>
            <w:r>
              <w:rPr>
                <w:rFonts w:eastAsia="Times New Roman" w:cs="Calibri" w:ascii="Calibri" w:hAnsi="Calibri"/>
                <w:color w:val="000000"/>
                <w:kern w:val="0"/>
                <w:sz w:val="14"/>
                <w:szCs w:val="16"/>
                <w:lang w:val="it-IT" w:eastAsia="en-US" w:bidi="ar-SA"/>
              </w:rPr>
              <w:t>Firenze</w:t>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I.O.T. Firenze</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Ord.</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color w:val="000000"/>
                <w:kern w:val="0"/>
                <w:sz w:val="14"/>
                <w:szCs w:val="16"/>
                <w:lang w:val="it-IT" w:eastAsia="en-US" w:bidi="ar-SA"/>
              </w:rPr>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0,92</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50</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421</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8,42</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0,96</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I.O.T. Firenze</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D.H.</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2.923</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2.943</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0,48</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2.712</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2.755</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0,49</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Nuovo Ospedale Borgo S.Lorenzo (FI)</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Ord.</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3.988</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24.774</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6,21</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1,02</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4.370</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25.919</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5,93</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0,9</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Nuovo Ospedale Borgo S.Lorenzo (FI)</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D.H.</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656</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2.053</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0,51</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674</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1.914</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0,54</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S. Maria Nuova Firenze</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Ord.</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4.892</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27.595</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5,64</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1,02</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5.119</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33.983</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6,64</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1,08</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S. Maria Nuova Firenze</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D.H.</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817</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1.451</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0,52</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738</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1.447</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0,53</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S.Giovanni Di Dio-Torregalli (FI)</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Ord.</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11.905</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75.382</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6,33</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0,92</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12.403</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76.945</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6,2</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0,92</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S.Giovanni Di Dio-Torregalli (FI)</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D.H.</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1.463</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8.945</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0,62</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1.802</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8.894</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0,57</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S.M. Annunziata Bagno a Ripoli</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Ord.</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11.317</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67.465</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5,96</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0,97</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11.763</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71.824</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6,11</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1,01</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S.M. Annunziata Bagno a Ripoli</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D.H.</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1.349</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5.411</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0,64</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1.549</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5.150</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0,57</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Serristori Figline V.A. (FI)</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Ord.</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1.180</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6.683</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5,66</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0,66</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1.206</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8.814</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7,31</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0,88</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Serristori Figline V.A. (FI)</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D.H.</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595</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3.245</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0,44</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437</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3.204</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0,42</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Spdc Oblate</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Ord.</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430</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2.573</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5,98</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0,67</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373</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2.599</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6,97</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0,64</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Spdc Oblate</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D.H.</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76"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69"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r>
      <w:tr>
        <w:trPr>
          <w:trHeight w:val="300" w:hRule="atLeast"/>
        </w:trPr>
        <w:tc>
          <w:tcPr>
            <w:tcW w:w="631" w:type="dxa"/>
            <w:vMerge w:val="restart"/>
            <w:tcBorders/>
          </w:tcPr>
          <w:p>
            <w:pPr>
              <w:pStyle w:val="Normal"/>
              <w:widowControl/>
              <w:suppressAutoHyphens w:val="false"/>
              <w:spacing w:before="0" w:after="0"/>
              <w:jc w:val="center"/>
              <w:rPr>
                <w:rFonts w:cs="Calibri"/>
                <w:color w:val="000000"/>
                <w:sz w:val="14"/>
                <w:szCs w:val="16"/>
              </w:rPr>
            </w:pPr>
            <w:r>
              <w:rPr>
                <w:rFonts w:eastAsia="Times New Roman" w:cs="Calibri" w:ascii="Calibri" w:hAnsi="Calibri"/>
                <w:color w:val="000000"/>
                <w:kern w:val="0"/>
                <w:sz w:val="14"/>
                <w:szCs w:val="16"/>
                <w:lang w:val="it-IT" w:eastAsia="en-US" w:bidi="ar-SA"/>
              </w:rPr>
              <w:t>Pistoia</w:t>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Lorenzo Pacini</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Ord.</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650</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6.313</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9,71</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0,79</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714</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6.630</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9,29</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0,8</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Lorenzo Pacini</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D.H.</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76"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69"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San Jacopo</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Ord.</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14.150</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91.702</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6,48</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0,90</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13.697</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94.914</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6,93</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0,99</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San Jacopo</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D.H.</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2.050</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5.788</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0,53</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1.908</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6.331</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0,54</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SS Cosma e Damiano</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Ord.</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6.895</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45.673</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6,62</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0,89</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7.557</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48.519</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6,42</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0,85</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SS Cosma e Damiano</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D.H.</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1.141</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2.667</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0,49</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1.032</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2.890</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0,41</w:t>
            </w:r>
          </w:p>
        </w:tc>
      </w:tr>
      <w:tr>
        <w:trPr>
          <w:trHeight w:val="300" w:hRule="atLeast"/>
        </w:trPr>
        <w:tc>
          <w:tcPr>
            <w:tcW w:w="631" w:type="dxa"/>
            <w:vMerge w:val="restart"/>
            <w:tcBorders/>
          </w:tcPr>
          <w:p>
            <w:pPr>
              <w:pStyle w:val="Normal"/>
              <w:widowControl/>
              <w:suppressAutoHyphens w:val="false"/>
              <w:spacing w:before="0" w:after="0"/>
              <w:jc w:val="center"/>
              <w:rPr>
                <w:rFonts w:cs="Calibri"/>
                <w:color w:val="000000"/>
                <w:sz w:val="14"/>
                <w:szCs w:val="16"/>
              </w:rPr>
            </w:pPr>
            <w:r>
              <w:rPr>
                <w:rFonts w:eastAsia="Times New Roman" w:cs="Calibri" w:ascii="Calibri" w:hAnsi="Calibri"/>
                <w:color w:val="000000"/>
                <w:kern w:val="0"/>
                <w:sz w:val="14"/>
                <w:szCs w:val="16"/>
                <w:lang w:val="it-IT" w:eastAsia="en-US" w:bidi="ar-SA"/>
              </w:rPr>
              <w:t>Prato</w:t>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Santo Stefano</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Ord.</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22.018</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155.452</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7,06</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0,90</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22.172</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163.838</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7,39</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0,94</w:t>
            </w:r>
          </w:p>
        </w:tc>
      </w:tr>
      <w:tr>
        <w:trPr>
          <w:trHeight w:val="300" w:hRule="atLeast"/>
        </w:trPr>
        <w:tc>
          <w:tcPr>
            <w:tcW w:w="631" w:type="dxa"/>
            <w:vMerge w:val="continue"/>
            <w:tcBorders/>
          </w:tcPr>
          <w:p>
            <w:pPr>
              <w:pStyle w:val="Normal"/>
              <w:widowControl/>
              <w:suppressAutoHyphens w:val="false"/>
              <w:spacing w:before="0" w:after="0"/>
              <w:jc w:val="left"/>
              <w:rPr>
                <w:rFonts w:cs="Calibri"/>
                <w:color w:val="000000"/>
                <w:sz w:val="14"/>
                <w:szCs w:val="16"/>
              </w:rPr>
            </w:pPr>
            <w:r>
              <w:rPr>
                <w:rFonts w:eastAsia="Times New Roman" w:cs="Calibri"/>
                <w:color w:val="000000"/>
                <w:kern w:val="0"/>
                <w:sz w:val="14"/>
                <w:szCs w:val="16"/>
                <w:lang w:val="it-IT" w:eastAsia="en-US" w:bidi="ar-SA"/>
              </w:rPr>
            </w:r>
          </w:p>
        </w:tc>
        <w:tc>
          <w:tcPr>
            <w:tcW w:w="2432"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Santo Stefano</w:t>
            </w:r>
          </w:p>
        </w:tc>
        <w:tc>
          <w:tcPr>
            <w:tcW w:w="653"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D.H.</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4.268</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16.892</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0,49</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3.884</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16.977</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0,48</w:t>
            </w:r>
          </w:p>
        </w:tc>
      </w:tr>
      <w:tr>
        <w:trPr>
          <w:trHeight w:val="300" w:hRule="atLeast"/>
        </w:trPr>
        <w:tc>
          <w:tcPr>
            <w:tcW w:w="3716" w:type="dxa"/>
            <w:gridSpan w:val="3"/>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AUSL TC</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109.499</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664.910</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0,77</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110.676</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701.149</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0,76</w:t>
            </w:r>
          </w:p>
        </w:tc>
      </w:tr>
      <w:tr>
        <w:trPr>
          <w:trHeight w:val="300" w:hRule="atLeast"/>
        </w:trPr>
        <w:tc>
          <w:tcPr>
            <w:tcW w:w="3716" w:type="dxa"/>
            <w:gridSpan w:val="3"/>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AUSL TC DH</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17.649</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57.326</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0,53</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16.912</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57.668</w:t>
            </w:r>
          </w:p>
        </w:tc>
        <w:tc>
          <w:tcPr>
            <w:tcW w:w="678" w:type="dxa"/>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 </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0,51</w:t>
            </w:r>
          </w:p>
        </w:tc>
      </w:tr>
      <w:tr>
        <w:trPr>
          <w:trHeight w:val="300" w:hRule="atLeast"/>
        </w:trPr>
        <w:tc>
          <w:tcPr>
            <w:tcW w:w="3716" w:type="dxa"/>
            <w:gridSpan w:val="3"/>
            <w:tcBorders/>
          </w:tcPr>
          <w:p>
            <w:pPr>
              <w:pStyle w:val="Normal"/>
              <w:widowControl/>
              <w:suppressAutoHyphens w:val="false"/>
              <w:spacing w:before="0" w:after="0"/>
              <w:jc w:val="left"/>
              <w:rPr>
                <w:rFonts w:cs="Calibri"/>
                <w:color w:val="000000"/>
                <w:sz w:val="14"/>
                <w:szCs w:val="16"/>
              </w:rPr>
            </w:pPr>
            <w:r>
              <w:rPr>
                <w:rFonts w:eastAsia="Times New Roman" w:cs="Calibri" w:ascii="Calibri" w:hAnsi="Calibri"/>
                <w:color w:val="000000"/>
                <w:kern w:val="0"/>
                <w:sz w:val="14"/>
                <w:szCs w:val="16"/>
                <w:lang w:val="it-IT" w:eastAsia="en-US" w:bidi="ar-SA"/>
              </w:rPr>
              <w:t>AUSL TC Ord</w:t>
            </w:r>
          </w:p>
        </w:tc>
        <w:tc>
          <w:tcPr>
            <w:tcW w:w="67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91.850</w:t>
            </w:r>
          </w:p>
        </w:tc>
        <w:tc>
          <w:tcPr>
            <w:tcW w:w="731"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607.584</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6,6</w:t>
            </w:r>
          </w:p>
        </w:tc>
        <w:tc>
          <w:tcPr>
            <w:tcW w:w="876"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0,97</w:t>
            </w:r>
          </w:p>
        </w:tc>
        <w:tc>
          <w:tcPr>
            <w:tcW w:w="677"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93.764</w:t>
            </w:r>
          </w:p>
        </w:tc>
        <w:tc>
          <w:tcPr>
            <w:tcW w:w="732"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643.481</w:t>
            </w:r>
          </w:p>
        </w:tc>
        <w:tc>
          <w:tcPr>
            <w:tcW w:w="678"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6,9</w:t>
            </w:r>
          </w:p>
        </w:tc>
        <w:tc>
          <w:tcPr>
            <w:tcW w:w="869" w:type="dxa"/>
            <w:tcBorders/>
          </w:tcPr>
          <w:p>
            <w:pPr>
              <w:pStyle w:val="Normal"/>
              <w:widowControl/>
              <w:suppressAutoHyphens w:val="false"/>
              <w:spacing w:before="0" w:after="0"/>
              <w:jc w:val="right"/>
              <w:rPr>
                <w:rFonts w:cs="Calibri"/>
                <w:color w:val="000000"/>
                <w:sz w:val="14"/>
                <w:szCs w:val="16"/>
              </w:rPr>
            </w:pPr>
            <w:r>
              <w:rPr>
                <w:rFonts w:eastAsia="Times New Roman" w:cs="Calibri" w:ascii="Calibri" w:hAnsi="Calibri"/>
                <w:color w:val="000000"/>
                <w:kern w:val="0"/>
                <w:sz w:val="14"/>
                <w:szCs w:val="16"/>
                <w:lang w:val="it-IT" w:eastAsia="en-US" w:bidi="ar-SA"/>
              </w:rPr>
              <w:t>0,96</w:t>
            </w:r>
          </w:p>
        </w:tc>
      </w:tr>
    </w:tbl>
    <w:p>
      <w:pPr>
        <w:pStyle w:val="Normal"/>
        <w:spacing w:lineRule="atLeast" w:line="320" w:before="0" w:after="120"/>
        <w:jc w:val="both"/>
        <w:rPr>
          <w:rFonts w:ascii="Calibri" w:hAnsi="Calibri" w:cs="Arial"/>
          <w:sz w:val="22"/>
          <w:szCs w:val="22"/>
        </w:rPr>
      </w:pPr>
      <w:r>
        <w:rPr>
          <w:rFonts w:cs="Arial" w:ascii="Calibri" w:hAnsi="Calibri"/>
          <w:sz w:val="22"/>
          <w:szCs w:val="22"/>
        </w:rPr>
      </w:r>
    </w:p>
    <w:p>
      <w:pPr>
        <w:pStyle w:val="Normal"/>
        <w:suppressAutoHyphens w:val="false"/>
        <w:rPr>
          <w:rFonts w:ascii="Calibri" w:hAnsi="Calibri" w:cs="Arial"/>
          <w:sz w:val="22"/>
          <w:szCs w:val="22"/>
        </w:rPr>
      </w:pPr>
      <w:r>
        <w:rPr>
          <w:rFonts w:cs="Arial" w:ascii="Calibri" w:hAnsi="Calibri"/>
          <w:sz w:val="22"/>
          <w:szCs w:val="22"/>
        </w:rPr>
      </w:r>
      <w:r>
        <w:br w:type="page"/>
      </w:r>
    </w:p>
    <w:p>
      <w:pPr>
        <w:pStyle w:val="Normal"/>
        <w:spacing w:lineRule="atLeast" w:line="320" w:before="0" w:after="120"/>
        <w:jc w:val="both"/>
        <w:rPr>
          <w:rFonts w:ascii="Calibri" w:hAnsi="Calibri" w:cs="Arial"/>
          <w:sz w:val="22"/>
          <w:szCs w:val="22"/>
        </w:rPr>
      </w:pPr>
      <w:r>
        <w:rPr>
          <w:rFonts w:cs="Arial" w:ascii="Calibri" w:hAnsi="Calibri"/>
          <w:sz w:val="22"/>
          <w:szCs w:val="22"/>
        </w:rPr>
      </w:r>
    </w:p>
    <w:p>
      <w:pPr>
        <w:pStyle w:val="Normal"/>
        <w:spacing w:lineRule="atLeast" w:line="320" w:before="0" w:after="120"/>
        <w:jc w:val="both"/>
        <w:rPr>
          <w:rFonts w:ascii="Calibri" w:hAnsi="Calibri" w:cs="Arial"/>
        </w:rPr>
      </w:pPr>
      <w:r>
        <w:rPr>
          <w:rFonts w:cs="Arial" w:ascii="Calibri" w:hAnsi="Calibri"/>
          <w:sz w:val="22"/>
          <w:szCs w:val="22"/>
        </w:rPr>
        <w:t xml:space="preserve">I ricoveri per CoViD-19 sono stati 8493 (Tabella 5), contro i 9742 del 2021, con un decremento del 12%. Il fenomeno delle ospedalizzazioni in pazienti verosimilmente con riscontro di positività per SARS-COV2in corso di ricovero per altra patologia, ha rappresentato un fenomeno ancora rilevante nel 2022. Questo processo ha determinato una sottrazione di risorse di posto letto a causa del riassetto dei setting di degenza, e del personale che doveva applicare tutte le procedure previste per questa tipologia di pazienti, incidendo così sulla diminuzione dei ricoveri programmati. La risposta dell’Azienda ha coinvolto tutti gli ospedali, che hanno cercato di ottimizzare le risorse nelle varie fasi pandemiche. </w:t>
      </w:r>
    </w:p>
    <w:p>
      <w:pPr>
        <w:pStyle w:val="Normal"/>
        <w:spacing w:lineRule="atLeast" w:line="320" w:before="0" w:after="120"/>
        <w:rPr>
          <w:rFonts w:ascii="Calibri" w:hAnsi="Calibri" w:cs="Calibri"/>
          <w:b/>
          <w:b/>
          <w:bCs/>
          <w:color w:val="000000"/>
          <w:sz w:val="22"/>
          <w:szCs w:val="22"/>
        </w:rPr>
      </w:pPr>
      <w:r>
        <w:rPr>
          <w:rFonts w:cs="Calibri" w:ascii="Calibri" w:hAnsi="Calibri"/>
          <w:b/>
          <w:bCs/>
          <w:color w:val="000000"/>
          <w:sz w:val="22"/>
          <w:szCs w:val="22"/>
        </w:rPr>
        <w:t>Tabella 5. Descrittiva dei ricoveri con diagnosi di CoViD-19 avvenuti nelle strutture della AUSL Toscana Centro, anno 2022</w:t>
      </w:r>
    </w:p>
    <w:tbl>
      <w:tblPr>
        <w:tblStyle w:val="Tabellagriglia4-colore51"/>
        <w:tblW w:w="760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644"/>
        <w:gridCol w:w="570"/>
        <w:gridCol w:w="849"/>
        <w:gridCol w:w="697"/>
        <w:gridCol w:w="671"/>
        <w:gridCol w:w="1168"/>
      </w:tblGrid>
      <w:tr>
        <w:trPr>
          <w:trHeight w:val="300" w:hRule="atLeast"/>
        </w:trPr>
        <w:tc>
          <w:tcPr>
            <w:tcW w:w="3644" w:type="dxa"/>
            <w:tcBorders/>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Presidio</w:t>
            </w:r>
          </w:p>
        </w:tc>
        <w:tc>
          <w:tcPr>
            <w:tcW w:w="570" w:type="dxa"/>
            <w:tcBorders/>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D.H.</w:t>
            </w:r>
          </w:p>
        </w:tc>
        <w:tc>
          <w:tcPr>
            <w:tcW w:w="849" w:type="dxa"/>
            <w:tcBorders/>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Tot. accessi</w:t>
            </w:r>
          </w:p>
        </w:tc>
        <w:tc>
          <w:tcPr>
            <w:tcW w:w="697" w:type="dxa"/>
            <w:tcBorders/>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Ordinari</w:t>
            </w:r>
          </w:p>
        </w:tc>
        <w:tc>
          <w:tcPr>
            <w:tcW w:w="671" w:type="dxa"/>
            <w:tcBorders/>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Tot. gg</w:t>
            </w:r>
          </w:p>
        </w:tc>
        <w:tc>
          <w:tcPr>
            <w:tcW w:w="1168" w:type="dxa"/>
            <w:tcBorders/>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Tot. dimissioni</w:t>
            </w:r>
          </w:p>
        </w:tc>
      </w:tr>
      <w:tr>
        <w:trPr>
          <w:trHeight w:val="300" w:hRule="atLeast"/>
        </w:trPr>
        <w:tc>
          <w:tcPr>
            <w:tcW w:w="3644" w:type="dxa"/>
            <w:tcBorders/>
          </w:tcPr>
          <w:p>
            <w:pPr>
              <w:pStyle w:val="Normal"/>
              <w:widowControl/>
              <w:suppressAutoHyphens w:val="false"/>
              <w:spacing w:before="0" w:after="0"/>
              <w:jc w:val="left"/>
              <w:rPr>
                <w:rFonts w:cs="Calibri"/>
                <w:color w:val="000000"/>
                <w:sz w:val="18"/>
                <w:szCs w:val="18"/>
              </w:rPr>
            </w:pPr>
            <w:r>
              <w:rPr>
                <w:rFonts w:eastAsia="Times New Roman" w:cs="Calibri" w:ascii="Calibri" w:hAnsi="Calibri"/>
                <w:color w:val="000000"/>
                <w:kern w:val="0"/>
                <w:sz w:val="18"/>
                <w:szCs w:val="18"/>
                <w:lang w:val="it-IT" w:eastAsia="en-US" w:bidi="ar-SA"/>
              </w:rPr>
              <w:t>Lorenzo Pacini</w:t>
            </w:r>
          </w:p>
        </w:tc>
        <w:tc>
          <w:tcPr>
            <w:tcW w:w="570"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0</w:t>
            </w:r>
          </w:p>
        </w:tc>
        <w:tc>
          <w:tcPr>
            <w:tcW w:w="849"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0</w:t>
            </w:r>
          </w:p>
        </w:tc>
        <w:tc>
          <w:tcPr>
            <w:tcW w:w="697"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20</w:t>
            </w:r>
          </w:p>
        </w:tc>
        <w:tc>
          <w:tcPr>
            <w:tcW w:w="671"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311</w:t>
            </w:r>
          </w:p>
        </w:tc>
        <w:tc>
          <w:tcPr>
            <w:tcW w:w="1168"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20</w:t>
            </w:r>
          </w:p>
        </w:tc>
      </w:tr>
      <w:tr>
        <w:trPr>
          <w:trHeight w:val="300" w:hRule="atLeast"/>
        </w:trPr>
        <w:tc>
          <w:tcPr>
            <w:tcW w:w="3644" w:type="dxa"/>
            <w:tcBorders/>
          </w:tcPr>
          <w:p>
            <w:pPr>
              <w:pStyle w:val="Normal"/>
              <w:widowControl/>
              <w:suppressAutoHyphens w:val="false"/>
              <w:spacing w:before="0" w:after="0"/>
              <w:jc w:val="left"/>
              <w:rPr>
                <w:rFonts w:cs="Calibri"/>
                <w:color w:val="000000"/>
                <w:sz w:val="18"/>
                <w:szCs w:val="18"/>
              </w:rPr>
            </w:pPr>
            <w:r>
              <w:rPr>
                <w:rFonts w:eastAsia="Times New Roman" w:cs="Calibri" w:ascii="Calibri" w:hAnsi="Calibri"/>
                <w:color w:val="000000"/>
                <w:kern w:val="0"/>
                <w:sz w:val="18"/>
                <w:szCs w:val="18"/>
                <w:lang w:val="it-IT" w:eastAsia="en-US" w:bidi="ar-SA"/>
              </w:rPr>
              <w:t>Nuovo Ospedale Borgo S.Lorenzo (FI)</w:t>
            </w:r>
          </w:p>
        </w:tc>
        <w:tc>
          <w:tcPr>
            <w:tcW w:w="570"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0</w:t>
            </w:r>
          </w:p>
        </w:tc>
        <w:tc>
          <w:tcPr>
            <w:tcW w:w="849"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0</w:t>
            </w:r>
          </w:p>
        </w:tc>
        <w:tc>
          <w:tcPr>
            <w:tcW w:w="697"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193</w:t>
            </w:r>
          </w:p>
        </w:tc>
        <w:tc>
          <w:tcPr>
            <w:tcW w:w="671"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1963</w:t>
            </w:r>
          </w:p>
        </w:tc>
        <w:tc>
          <w:tcPr>
            <w:tcW w:w="1168"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193</w:t>
            </w:r>
          </w:p>
        </w:tc>
      </w:tr>
      <w:tr>
        <w:trPr>
          <w:trHeight w:val="300" w:hRule="atLeast"/>
        </w:trPr>
        <w:tc>
          <w:tcPr>
            <w:tcW w:w="3644" w:type="dxa"/>
            <w:tcBorders/>
          </w:tcPr>
          <w:p>
            <w:pPr>
              <w:pStyle w:val="Normal"/>
              <w:widowControl/>
              <w:suppressAutoHyphens w:val="false"/>
              <w:spacing w:before="0" w:after="0"/>
              <w:jc w:val="left"/>
              <w:rPr>
                <w:rFonts w:cs="Calibri"/>
                <w:color w:val="000000"/>
                <w:sz w:val="18"/>
                <w:szCs w:val="18"/>
              </w:rPr>
            </w:pPr>
            <w:r>
              <w:rPr>
                <w:rFonts w:eastAsia="Times New Roman" w:cs="Calibri" w:ascii="Calibri" w:hAnsi="Calibri"/>
                <w:color w:val="000000"/>
                <w:kern w:val="0"/>
                <w:sz w:val="18"/>
                <w:szCs w:val="18"/>
                <w:lang w:val="it-IT" w:eastAsia="en-US" w:bidi="ar-SA"/>
              </w:rPr>
              <w:t>Ospedale S. Giuseppe</w:t>
            </w:r>
          </w:p>
        </w:tc>
        <w:tc>
          <w:tcPr>
            <w:tcW w:w="570"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0</w:t>
            </w:r>
          </w:p>
        </w:tc>
        <w:tc>
          <w:tcPr>
            <w:tcW w:w="849"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0</w:t>
            </w:r>
          </w:p>
        </w:tc>
        <w:tc>
          <w:tcPr>
            <w:tcW w:w="697"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1525</w:t>
            </w:r>
          </w:p>
        </w:tc>
        <w:tc>
          <w:tcPr>
            <w:tcW w:w="671"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16890</w:t>
            </w:r>
          </w:p>
        </w:tc>
        <w:tc>
          <w:tcPr>
            <w:tcW w:w="1168"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1525</w:t>
            </w:r>
          </w:p>
        </w:tc>
      </w:tr>
      <w:tr>
        <w:trPr>
          <w:trHeight w:val="300" w:hRule="atLeast"/>
        </w:trPr>
        <w:tc>
          <w:tcPr>
            <w:tcW w:w="3644" w:type="dxa"/>
            <w:tcBorders/>
          </w:tcPr>
          <w:p>
            <w:pPr>
              <w:pStyle w:val="Normal"/>
              <w:widowControl/>
              <w:suppressAutoHyphens w:val="false"/>
              <w:spacing w:before="0" w:after="0"/>
              <w:jc w:val="left"/>
              <w:rPr>
                <w:rFonts w:cs="Calibri"/>
                <w:color w:val="000000"/>
                <w:sz w:val="18"/>
                <w:szCs w:val="18"/>
              </w:rPr>
            </w:pPr>
            <w:r>
              <w:rPr>
                <w:rFonts w:eastAsia="Times New Roman" w:cs="Calibri" w:ascii="Calibri" w:hAnsi="Calibri"/>
                <w:color w:val="000000"/>
                <w:kern w:val="0"/>
                <w:sz w:val="18"/>
                <w:szCs w:val="18"/>
                <w:lang w:val="it-IT" w:eastAsia="en-US" w:bidi="ar-SA"/>
              </w:rPr>
              <w:t>Ospedale San Pietro Igneo</w:t>
            </w:r>
          </w:p>
        </w:tc>
        <w:tc>
          <w:tcPr>
            <w:tcW w:w="570"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0</w:t>
            </w:r>
          </w:p>
        </w:tc>
        <w:tc>
          <w:tcPr>
            <w:tcW w:w="849"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0</w:t>
            </w:r>
          </w:p>
        </w:tc>
        <w:tc>
          <w:tcPr>
            <w:tcW w:w="697"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4</w:t>
            </w:r>
          </w:p>
        </w:tc>
        <w:tc>
          <w:tcPr>
            <w:tcW w:w="671"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50</w:t>
            </w:r>
          </w:p>
        </w:tc>
        <w:tc>
          <w:tcPr>
            <w:tcW w:w="1168"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4</w:t>
            </w:r>
          </w:p>
        </w:tc>
      </w:tr>
      <w:tr>
        <w:trPr>
          <w:trHeight w:val="300" w:hRule="atLeast"/>
        </w:trPr>
        <w:tc>
          <w:tcPr>
            <w:tcW w:w="3644" w:type="dxa"/>
            <w:tcBorders/>
          </w:tcPr>
          <w:p>
            <w:pPr>
              <w:pStyle w:val="Normal"/>
              <w:widowControl/>
              <w:suppressAutoHyphens w:val="false"/>
              <w:spacing w:before="0" w:after="0"/>
              <w:jc w:val="left"/>
              <w:rPr>
                <w:rFonts w:cs="Calibri"/>
                <w:color w:val="000000"/>
                <w:sz w:val="18"/>
                <w:szCs w:val="18"/>
              </w:rPr>
            </w:pPr>
            <w:r>
              <w:rPr>
                <w:rFonts w:eastAsia="Times New Roman" w:cs="Calibri" w:ascii="Calibri" w:hAnsi="Calibri"/>
                <w:color w:val="000000"/>
                <w:kern w:val="0"/>
                <w:sz w:val="18"/>
                <w:szCs w:val="18"/>
                <w:lang w:val="it-IT" w:eastAsia="en-US" w:bidi="ar-SA"/>
              </w:rPr>
              <w:t>S. Maria Nuova Firenze</w:t>
            </w:r>
          </w:p>
        </w:tc>
        <w:tc>
          <w:tcPr>
            <w:tcW w:w="570"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2</w:t>
            </w:r>
          </w:p>
        </w:tc>
        <w:tc>
          <w:tcPr>
            <w:tcW w:w="849"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2</w:t>
            </w:r>
          </w:p>
        </w:tc>
        <w:tc>
          <w:tcPr>
            <w:tcW w:w="697"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465</w:t>
            </w:r>
          </w:p>
        </w:tc>
        <w:tc>
          <w:tcPr>
            <w:tcW w:w="671"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3013</w:t>
            </w:r>
          </w:p>
        </w:tc>
        <w:tc>
          <w:tcPr>
            <w:tcW w:w="1168"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467</w:t>
            </w:r>
          </w:p>
        </w:tc>
      </w:tr>
      <w:tr>
        <w:trPr>
          <w:trHeight w:val="300" w:hRule="atLeast"/>
        </w:trPr>
        <w:tc>
          <w:tcPr>
            <w:tcW w:w="3644" w:type="dxa"/>
            <w:tcBorders/>
          </w:tcPr>
          <w:p>
            <w:pPr>
              <w:pStyle w:val="Normal"/>
              <w:widowControl/>
              <w:suppressAutoHyphens w:val="false"/>
              <w:spacing w:before="0" w:after="0"/>
              <w:jc w:val="left"/>
              <w:rPr>
                <w:rFonts w:cs="Calibri"/>
                <w:color w:val="000000"/>
                <w:sz w:val="18"/>
                <w:szCs w:val="18"/>
              </w:rPr>
            </w:pPr>
            <w:r>
              <w:rPr>
                <w:rFonts w:eastAsia="Times New Roman" w:cs="Calibri" w:ascii="Calibri" w:hAnsi="Calibri"/>
                <w:color w:val="000000"/>
                <w:kern w:val="0"/>
                <w:sz w:val="18"/>
                <w:szCs w:val="18"/>
                <w:lang w:val="it-IT" w:eastAsia="en-US" w:bidi="ar-SA"/>
              </w:rPr>
              <w:t>S.Giovanni Di Dio-Torregalli (FI)</w:t>
            </w:r>
          </w:p>
        </w:tc>
        <w:tc>
          <w:tcPr>
            <w:tcW w:w="570"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2</w:t>
            </w:r>
          </w:p>
        </w:tc>
        <w:tc>
          <w:tcPr>
            <w:tcW w:w="849"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50</w:t>
            </w:r>
          </w:p>
        </w:tc>
        <w:tc>
          <w:tcPr>
            <w:tcW w:w="697"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811</w:t>
            </w:r>
          </w:p>
        </w:tc>
        <w:tc>
          <w:tcPr>
            <w:tcW w:w="671"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6969</w:t>
            </w:r>
          </w:p>
        </w:tc>
        <w:tc>
          <w:tcPr>
            <w:tcW w:w="1168"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813</w:t>
            </w:r>
          </w:p>
        </w:tc>
      </w:tr>
      <w:tr>
        <w:trPr>
          <w:trHeight w:val="300" w:hRule="atLeast"/>
        </w:trPr>
        <w:tc>
          <w:tcPr>
            <w:tcW w:w="3644" w:type="dxa"/>
            <w:tcBorders/>
          </w:tcPr>
          <w:p>
            <w:pPr>
              <w:pStyle w:val="Normal"/>
              <w:widowControl/>
              <w:suppressAutoHyphens w:val="false"/>
              <w:spacing w:before="0" w:after="0"/>
              <w:jc w:val="left"/>
              <w:rPr>
                <w:rFonts w:cs="Calibri"/>
                <w:color w:val="000000"/>
                <w:sz w:val="18"/>
                <w:szCs w:val="18"/>
              </w:rPr>
            </w:pPr>
            <w:r>
              <w:rPr>
                <w:rFonts w:eastAsia="Times New Roman" w:cs="Calibri" w:ascii="Calibri" w:hAnsi="Calibri"/>
                <w:color w:val="000000"/>
                <w:kern w:val="0"/>
                <w:sz w:val="18"/>
                <w:szCs w:val="18"/>
                <w:lang w:val="it-IT" w:eastAsia="en-US" w:bidi="ar-SA"/>
              </w:rPr>
              <w:t>S.M. Annunziata Bagno a Ripoli</w:t>
            </w:r>
          </w:p>
        </w:tc>
        <w:tc>
          <w:tcPr>
            <w:tcW w:w="570"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26</w:t>
            </w:r>
          </w:p>
        </w:tc>
        <w:tc>
          <w:tcPr>
            <w:tcW w:w="849"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28</w:t>
            </w:r>
          </w:p>
        </w:tc>
        <w:tc>
          <w:tcPr>
            <w:tcW w:w="697"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817</w:t>
            </w:r>
          </w:p>
        </w:tc>
        <w:tc>
          <w:tcPr>
            <w:tcW w:w="671"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8686</w:t>
            </w:r>
          </w:p>
        </w:tc>
        <w:tc>
          <w:tcPr>
            <w:tcW w:w="1168"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843</w:t>
            </w:r>
          </w:p>
        </w:tc>
      </w:tr>
      <w:tr>
        <w:trPr>
          <w:trHeight w:val="300" w:hRule="atLeast"/>
        </w:trPr>
        <w:tc>
          <w:tcPr>
            <w:tcW w:w="3644" w:type="dxa"/>
            <w:tcBorders/>
          </w:tcPr>
          <w:p>
            <w:pPr>
              <w:pStyle w:val="Normal"/>
              <w:widowControl/>
              <w:suppressAutoHyphens w:val="false"/>
              <w:spacing w:before="0" w:after="0"/>
              <w:jc w:val="left"/>
              <w:rPr>
                <w:rFonts w:cs="Calibri"/>
                <w:color w:val="000000"/>
                <w:sz w:val="18"/>
                <w:szCs w:val="18"/>
              </w:rPr>
            </w:pPr>
            <w:r>
              <w:rPr>
                <w:rFonts w:eastAsia="Times New Roman" w:cs="Calibri" w:ascii="Calibri" w:hAnsi="Calibri"/>
                <w:color w:val="000000"/>
                <w:kern w:val="0"/>
                <w:sz w:val="18"/>
                <w:szCs w:val="18"/>
                <w:lang w:val="it-IT" w:eastAsia="en-US" w:bidi="ar-SA"/>
              </w:rPr>
              <w:t>San Jacopo</w:t>
            </w:r>
          </w:p>
        </w:tc>
        <w:tc>
          <w:tcPr>
            <w:tcW w:w="570"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4</w:t>
            </w:r>
          </w:p>
        </w:tc>
        <w:tc>
          <w:tcPr>
            <w:tcW w:w="849"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4</w:t>
            </w:r>
          </w:p>
        </w:tc>
        <w:tc>
          <w:tcPr>
            <w:tcW w:w="697"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1640</w:t>
            </w:r>
          </w:p>
        </w:tc>
        <w:tc>
          <w:tcPr>
            <w:tcW w:w="671"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14429</w:t>
            </w:r>
          </w:p>
        </w:tc>
        <w:tc>
          <w:tcPr>
            <w:tcW w:w="1168"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1644</w:t>
            </w:r>
          </w:p>
        </w:tc>
      </w:tr>
      <w:tr>
        <w:trPr>
          <w:trHeight w:val="300" w:hRule="atLeast"/>
        </w:trPr>
        <w:tc>
          <w:tcPr>
            <w:tcW w:w="3644" w:type="dxa"/>
            <w:tcBorders/>
          </w:tcPr>
          <w:p>
            <w:pPr>
              <w:pStyle w:val="Normal"/>
              <w:widowControl/>
              <w:suppressAutoHyphens w:val="false"/>
              <w:spacing w:before="0" w:after="0"/>
              <w:jc w:val="left"/>
              <w:rPr>
                <w:rFonts w:cs="Calibri"/>
                <w:color w:val="000000"/>
                <w:sz w:val="18"/>
                <w:szCs w:val="18"/>
              </w:rPr>
            </w:pPr>
            <w:r>
              <w:rPr>
                <w:rFonts w:eastAsia="Times New Roman" w:cs="Calibri" w:ascii="Calibri" w:hAnsi="Calibri"/>
                <w:color w:val="000000"/>
                <w:kern w:val="0"/>
                <w:sz w:val="18"/>
                <w:szCs w:val="18"/>
                <w:lang w:val="it-IT" w:eastAsia="en-US" w:bidi="ar-SA"/>
              </w:rPr>
              <w:t>Santo Stefano</w:t>
            </w:r>
          </w:p>
        </w:tc>
        <w:tc>
          <w:tcPr>
            <w:tcW w:w="570"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57</w:t>
            </w:r>
          </w:p>
        </w:tc>
        <w:tc>
          <w:tcPr>
            <w:tcW w:w="849"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84</w:t>
            </w:r>
          </w:p>
        </w:tc>
        <w:tc>
          <w:tcPr>
            <w:tcW w:w="697"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2030</w:t>
            </w:r>
          </w:p>
        </w:tc>
        <w:tc>
          <w:tcPr>
            <w:tcW w:w="671"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19329</w:t>
            </w:r>
          </w:p>
        </w:tc>
        <w:tc>
          <w:tcPr>
            <w:tcW w:w="1168"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2087</w:t>
            </w:r>
          </w:p>
        </w:tc>
      </w:tr>
      <w:tr>
        <w:trPr>
          <w:trHeight w:val="300" w:hRule="atLeast"/>
        </w:trPr>
        <w:tc>
          <w:tcPr>
            <w:tcW w:w="3644" w:type="dxa"/>
            <w:tcBorders/>
          </w:tcPr>
          <w:p>
            <w:pPr>
              <w:pStyle w:val="Normal"/>
              <w:widowControl/>
              <w:suppressAutoHyphens w:val="false"/>
              <w:spacing w:before="0" w:after="0"/>
              <w:jc w:val="left"/>
              <w:rPr>
                <w:rFonts w:cs="Calibri"/>
                <w:color w:val="000000"/>
                <w:sz w:val="18"/>
                <w:szCs w:val="18"/>
              </w:rPr>
            </w:pPr>
            <w:r>
              <w:rPr>
                <w:rFonts w:eastAsia="Times New Roman" w:cs="Calibri" w:ascii="Calibri" w:hAnsi="Calibri"/>
                <w:color w:val="000000"/>
                <w:kern w:val="0"/>
                <w:sz w:val="18"/>
                <w:szCs w:val="18"/>
                <w:lang w:val="it-IT" w:eastAsia="en-US" w:bidi="ar-SA"/>
              </w:rPr>
              <w:t>Serristori Figline V.A. (FI)</w:t>
            </w:r>
          </w:p>
        </w:tc>
        <w:tc>
          <w:tcPr>
            <w:tcW w:w="570"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0</w:t>
            </w:r>
          </w:p>
        </w:tc>
        <w:tc>
          <w:tcPr>
            <w:tcW w:w="849"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0</w:t>
            </w:r>
          </w:p>
        </w:tc>
        <w:tc>
          <w:tcPr>
            <w:tcW w:w="697"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463</w:t>
            </w:r>
          </w:p>
        </w:tc>
        <w:tc>
          <w:tcPr>
            <w:tcW w:w="671"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5163</w:t>
            </w:r>
          </w:p>
        </w:tc>
        <w:tc>
          <w:tcPr>
            <w:tcW w:w="1168"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463</w:t>
            </w:r>
          </w:p>
        </w:tc>
      </w:tr>
      <w:tr>
        <w:trPr>
          <w:trHeight w:val="300" w:hRule="atLeast"/>
        </w:trPr>
        <w:tc>
          <w:tcPr>
            <w:tcW w:w="3644" w:type="dxa"/>
            <w:tcBorders/>
          </w:tcPr>
          <w:p>
            <w:pPr>
              <w:pStyle w:val="Normal"/>
              <w:widowControl/>
              <w:suppressAutoHyphens w:val="false"/>
              <w:spacing w:before="0" w:after="0"/>
              <w:jc w:val="left"/>
              <w:rPr>
                <w:rFonts w:cs="Calibri"/>
                <w:color w:val="000000"/>
                <w:sz w:val="18"/>
                <w:szCs w:val="18"/>
              </w:rPr>
            </w:pPr>
            <w:r>
              <w:rPr>
                <w:rFonts w:eastAsia="Times New Roman" w:cs="Calibri" w:ascii="Calibri" w:hAnsi="Calibri"/>
                <w:color w:val="000000"/>
                <w:kern w:val="0"/>
                <w:sz w:val="18"/>
                <w:szCs w:val="18"/>
                <w:lang w:val="it-IT" w:eastAsia="en-US" w:bidi="ar-SA"/>
              </w:rPr>
              <w:t>Spdc Oblate</w:t>
            </w:r>
          </w:p>
        </w:tc>
        <w:tc>
          <w:tcPr>
            <w:tcW w:w="570"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0</w:t>
            </w:r>
          </w:p>
        </w:tc>
        <w:tc>
          <w:tcPr>
            <w:tcW w:w="849"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0</w:t>
            </w:r>
          </w:p>
        </w:tc>
        <w:tc>
          <w:tcPr>
            <w:tcW w:w="697"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23</w:t>
            </w:r>
          </w:p>
        </w:tc>
        <w:tc>
          <w:tcPr>
            <w:tcW w:w="671"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111</w:t>
            </w:r>
          </w:p>
        </w:tc>
        <w:tc>
          <w:tcPr>
            <w:tcW w:w="1168"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23</w:t>
            </w:r>
          </w:p>
        </w:tc>
      </w:tr>
      <w:tr>
        <w:trPr>
          <w:trHeight w:val="300" w:hRule="atLeast"/>
        </w:trPr>
        <w:tc>
          <w:tcPr>
            <w:tcW w:w="3644" w:type="dxa"/>
            <w:tcBorders/>
          </w:tcPr>
          <w:p>
            <w:pPr>
              <w:pStyle w:val="Normal"/>
              <w:widowControl/>
              <w:suppressAutoHyphens w:val="false"/>
              <w:spacing w:before="0" w:after="0"/>
              <w:jc w:val="left"/>
              <w:rPr>
                <w:rFonts w:cs="Calibri"/>
                <w:color w:val="000000"/>
                <w:sz w:val="18"/>
                <w:szCs w:val="18"/>
              </w:rPr>
            </w:pPr>
            <w:r>
              <w:rPr>
                <w:rFonts w:eastAsia="Times New Roman" w:cs="Calibri" w:ascii="Calibri" w:hAnsi="Calibri"/>
                <w:color w:val="000000"/>
                <w:kern w:val="0"/>
                <w:sz w:val="18"/>
                <w:szCs w:val="18"/>
                <w:lang w:val="it-IT" w:eastAsia="en-US" w:bidi="ar-SA"/>
              </w:rPr>
              <w:t>SS Cosma e Damiano</w:t>
            </w:r>
          </w:p>
        </w:tc>
        <w:tc>
          <w:tcPr>
            <w:tcW w:w="570"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0</w:t>
            </w:r>
          </w:p>
        </w:tc>
        <w:tc>
          <w:tcPr>
            <w:tcW w:w="849"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0</w:t>
            </w:r>
          </w:p>
        </w:tc>
        <w:tc>
          <w:tcPr>
            <w:tcW w:w="697"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411</w:t>
            </w:r>
          </w:p>
        </w:tc>
        <w:tc>
          <w:tcPr>
            <w:tcW w:w="671"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3159</w:t>
            </w:r>
          </w:p>
        </w:tc>
        <w:tc>
          <w:tcPr>
            <w:tcW w:w="1168" w:type="dxa"/>
            <w:tcBorders/>
          </w:tcPr>
          <w:p>
            <w:pPr>
              <w:pStyle w:val="Normal"/>
              <w:widowControl/>
              <w:suppressAutoHyphens w:val="false"/>
              <w:spacing w:before="0" w:after="0"/>
              <w:jc w:val="right"/>
              <w:rPr>
                <w:rFonts w:cs="Calibri"/>
                <w:color w:val="000000"/>
                <w:sz w:val="18"/>
                <w:szCs w:val="18"/>
              </w:rPr>
            </w:pPr>
            <w:r>
              <w:rPr>
                <w:rFonts w:eastAsia="Times New Roman" w:cs="Calibri" w:ascii="Calibri" w:hAnsi="Calibri"/>
                <w:color w:val="000000"/>
                <w:kern w:val="0"/>
                <w:sz w:val="18"/>
                <w:szCs w:val="18"/>
                <w:lang w:val="it-IT" w:eastAsia="en-US" w:bidi="ar-SA"/>
              </w:rPr>
              <w:t>411</w:t>
            </w:r>
          </w:p>
        </w:tc>
      </w:tr>
    </w:tbl>
    <w:p>
      <w:pPr>
        <w:pStyle w:val="Normal"/>
        <w:spacing w:lineRule="atLeast" w:line="320" w:before="0" w:after="120"/>
        <w:rPr>
          <w:color w:val="000000"/>
        </w:rPr>
      </w:pPr>
      <w:r>
        <w:rPr>
          <w:color w:val="000000"/>
        </w:rPr>
        <w:tab/>
        <w:tab/>
        <w:tab/>
        <w:tab/>
        <w:tab/>
        <w:tab/>
        <w:tab/>
        <w:tab/>
        <w:tab/>
        <w:tab/>
        <w:t>8493</w:t>
        <w:tab/>
      </w:r>
    </w:p>
    <w:p>
      <w:pPr>
        <w:pStyle w:val="Normal"/>
        <w:spacing w:lineRule="atLeast" w:line="320" w:before="0" w:after="120"/>
        <w:rPr>
          <w:color w:val="000000"/>
        </w:rPr>
      </w:pPr>
      <w:r>
        <w:rPr>
          <w:rFonts w:cs="Arial" w:ascii="Calibri" w:hAnsi="Calibri"/>
          <w:sz w:val="18"/>
          <w:szCs w:val="18"/>
        </w:rPr>
        <w:t>Fonte: Web Application Budget di AUTC</w:t>
      </w:r>
    </w:p>
    <w:p>
      <w:pPr>
        <w:pStyle w:val="Normal"/>
        <w:spacing w:lineRule="atLeast" w:line="320" w:before="0" w:after="120"/>
        <w:jc w:val="both"/>
        <w:rPr>
          <w:rFonts w:ascii="Calibri" w:hAnsi="Calibri" w:cs="Arial"/>
          <w:sz w:val="22"/>
          <w:szCs w:val="22"/>
        </w:rPr>
      </w:pPr>
      <w:r>
        <w:rPr>
          <w:rFonts w:cs="Arial" w:ascii="Calibri" w:hAnsi="Calibri"/>
          <w:sz w:val="22"/>
          <w:szCs w:val="22"/>
        </w:rPr>
        <w:t>Gli indici di Performance di Degenza Media (Tabella 6) confrontano la degenza media registrata con la media regionale di riferimento per la stessa tipologia di ricovero; i valori rilevati, essendo tutti con segno negativo, indicano una buona performance, anche se si evidenzia una notevole variabilità. Tale situazione replica quanto già osservato nel 2021.</w:t>
      </w:r>
    </w:p>
    <w:p>
      <w:pPr>
        <w:pStyle w:val="Normal"/>
        <w:spacing w:lineRule="atLeast" w:line="320" w:before="0" w:after="120"/>
        <w:rPr>
          <w:color w:val="000000"/>
        </w:rPr>
      </w:pPr>
      <w:r>
        <w:rPr>
          <w:rFonts w:cs="Calibri" w:ascii="Calibri" w:hAnsi="Calibri"/>
          <w:b/>
          <w:bCs/>
          <w:color w:val="000000"/>
          <w:sz w:val="22"/>
          <w:szCs w:val="22"/>
        </w:rPr>
        <w:t>Tabella 6. Indicatori MES su indici di performance di Degenza Media dell’AUSL Toscana Centro, anno 2022</w:t>
      </w:r>
    </w:p>
    <w:tbl>
      <w:tblPr>
        <w:tblW w:w="5000" w:type="pct"/>
        <w:jc w:val="left"/>
        <w:tblInd w:w="-5" w:type="dxa"/>
        <w:tblLayout w:type="fixed"/>
        <w:tblCellMar>
          <w:top w:w="0" w:type="dxa"/>
          <w:left w:w="70" w:type="dxa"/>
          <w:bottom w:w="0" w:type="dxa"/>
          <w:right w:w="70" w:type="dxa"/>
        </w:tblCellMar>
        <w:tblLook w:firstRow="1" w:noVBand="1" w:lastRow="0" w:firstColumn="1" w:lastColumn="0" w:noHBand="0" w:val="04a0"/>
      </w:tblPr>
      <w:tblGrid>
        <w:gridCol w:w="3633"/>
        <w:gridCol w:w="979"/>
        <w:gridCol w:w="1117"/>
        <w:gridCol w:w="1257"/>
        <w:gridCol w:w="836"/>
        <w:gridCol w:w="697"/>
        <w:gridCol w:w="1118"/>
      </w:tblGrid>
      <w:tr>
        <w:trPr>
          <w:trHeight w:val="300" w:hRule="atLeast"/>
        </w:trPr>
        <w:tc>
          <w:tcPr>
            <w:tcW w:w="3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b/>
                <w:bCs/>
                <w:color w:val="000000"/>
                <w:sz w:val="16"/>
                <w:szCs w:val="16"/>
              </w:rPr>
              <w:t>Indicatore</w:t>
            </w:r>
          </w:p>
        </w:tc>
        <w:tc>
          <w:tcPr>
            <w:tcW w:w="979"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b/>
                <w:bCs/>
                <w:color w:val="000000"/>
                <w:sz w:val="16"/>
                <w:szCs w:val="16"/>
              </w:rPr>
              <w:t>Valore 2021</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b/>
                <w:bCs/>
                <w:color w:val="000000"/>
                <w:sz w:val="16"/>
                <w:szCs w:val="16"/>
              </w:rPr>
              <w:t>Valore 2022</w:t>
            </w:r>
          </w:p>
        </w:tc>
        <w:tc>
          <w:tcPr>
            <w:tcW w:w="125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b/>
                <w:bCs/>
                <w:color w:val="000000"/>
                <w:sz w:val="16"/>
                <w:szCs w:val="16"/>
              </w:rPr>
              <w:t>Valutazione 2022</w:t>
            </w:r>
          </w:p>
        </w:tc>
        <w:tc>
          <w:tcPr>
            <w:tcW w:w="83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b/>
                <w:bCs/>
                <w:color w:val="000000"/>
                <w:sz w:val="16"/>
                <w:szCs w:val="16"/>
              </w:rPr>
              <w:t>Δ (%)</w:t>
            </w:r>
          </w:p>
        </w:tc>
        <w:tc>
          <w:tcPr>
            <w:tcW w:w="69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b/>
                <w:bCs/>
                <w:color w:val="000000"/>
                <w:sz w:val="16"/>
                <w:szCs w:val="16"/>
              </w:rPr>
              <w:t>Δ CV</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b/>
                <w:bCs/>
                <w:color w:val="000000"/>
                <w:sz w:val="16"/>
                <w:szCs w:val="16"/>
              </w:rPr>
              <w:t>Variabilità</w:t>
            </w:r>
          </w:p>
        </w:tc>
      </w:tr>
      <w:tr>
        <w:trPr>
          <w:trHeight w:val="300" w:hRule="atLeast"/>
        </w:trPr>
        <w:tc>
          <w:tcPr>
            <w:tcW w:w="36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C2A.1 Indice di performance degenza media: ricoveri programmati</w:t>
            </w:r>
          </w:p>
        </w:tc>
        <w:tc>
          <w:tcPr>
            <w:tcW w:w="97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-0,62</w:t>
            </w:r>
          </w:p>
        </w:tc>
        <w:tc>
          <w:tcPr>
            <w:tcW w:w="111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-0,69</w:t>
            </w:r>
          </w:p>
        </w:tc>
        <w:tc>
          <w:tcPr>
            <w:tcW w:w="1257" w:type="dxa"/>
            <w:tcBorders>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3,40</w:t>
            </w:r>
          </w:p>
        </w:tc>
        <w:tc>
          <w:tcPr>
            <w:tcW w:w="83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0,07</w:t>
            </w:r>
          </w:p>
        </w:tc>
        <w:tc>
          <w:tcPr>
            <w:tcW w:w="69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44,14</w:t>
            </w:r>
          </w:p>
        </w:tc>
        <w:tc>
          <w:tcPr>
            <w:tcW w:w="1118"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sz w:val="16"/>
                <w:szCs w:val="16"/>
              </w:rPr>
              <w:t>Buona strada</w:t>
            </w:r>
          </w:p>
        </w:tc>
      </w:tr>
      <w:tr>
        <w:trPr>
          <w:trHeight w:val="300" w:hRule="atLeast"/>
        </w:trPr>
        <w:tc>
          <w:tcPr>
            <w:tcW w:w="36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C2A.C Indice di performance degenza media - DRG Chirurgici</w:t>
            </w:r>
          </w:p>
        </w:tc>
        <w:tc>
          <w:tcPr>
            <w:tcW w:w="97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-0,67</w:t>
            </w:r>
          </w:p>
        </w:tc>
        <w:tc>
          <w:tcPr>
            <w:tcW w:w="111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-0,65</w:t>
            </w:r>
          </w:p>
        </w:tc>
        <w:tc>
          <w:tcPr>
            <w:tcW w:w="1257" w:type="dxa"/>
            <w:tcBorders>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3,02</w:t>
            </w:r>
          </w:p>
        </w:tc>
        <w:tc>
          <w:tcPr>
            <w:tcW w:w="83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-0,03</w:t>
            </w:r>
          </w:p>
        </w:tc>
        <w:tc>
          <w:tcPr>
            <w:tcW w:w="69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-0,07</w:t>
            </w:r>
          </w:p>
        </w:tc>
        <w:tc>
          <w:tcPr>
            <w:tcW w:w="1118" w:type="dxa"/>
            <w:tcBorders>
              <w:top w:val="single" w:sz="4" w:space="0" w:color="000000"/>
              <w:left w:val="single" w:sz="4" w:space="0" w:color="000000"/>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Criticità</w:t>
            </w:r>
          </w:p>
        </w:tc>
      </w:tr>
      <w:tr>
        <w:trPr>
          <w:trHeight w:val="300" w:hRule="atLeast"/>
        </w:trPr>
        <w:tc>
          <w:tcPr>
            <w:tcW w:w="36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C2A.M Indice di performance degenza media - DRG Medici</w:t>
            </w:r>
          </w:p>
        </w:tc>
        <w:tc>
          <w:tcPr>
            <w:tcW w:w="97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-0,12</w:t>
            </w:r>
          </w:p>
        </w:tc>
        <w:tc>
          <w:tcPr>
            <w:tcW w:w="111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-0,07</w:t>
            </w:r>
          </w:p>
        </w:tc>
        <w:tc>
          <w:tcPr>
            <w:tcW w:w="1257" w:type="dxa"/>
            <w:tcBorders>
              <w:bottom w:val="single" w:sz="4" w:space="0" w:color="000000"/>
              <w:right w:val="single" w:sz="4" w:space="0" w:color="000000"/>
            </w:tcBorders>
            <w:shd w:color="auto" w:fill="FFFF00"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2,63</w:t>
            </w:r>
          </w:p>
        </w:tc>
        <w:tc>
          <w:tcPr>
            <w:tcW w:w="83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-0,05</w:t>
            </w:r>
          </w:p>
        </w:tc>
        <w:tc>
          <w:tcPr>
            <w:tcW w:w="69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1,22</w:t>
            </w:r>
          </w:p>
        </w:tc>
        <w:tc>
          <w:tcPr>
            <w:tcW w:w="1118"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color w:val="000000"/>
                <w:sz w:val="16"/>
                <w:szCs w:val="16"/>
              </w:rPr>
            </w:pPr>
            <w:r>
              <w:rPr>
                <w:rFonts w:cs="Calibri" w:ascii="Calibri" w:hAnsi="Calibri"/>
                <w:color w:val="000000"/>
                <w:sz w:val="16"/>
                <w:szCs w:val="16"/>
              </w:rPr>
              <w:t>Attenzione</w:t>
            </w:r>
          </w:p>
        </w:tc>
      </w:tr>
    </w:tbl>
    <w:p>
      <w:pPr>
        <w:pStyle w:val="Titolo2"/>
        <w:spacing w:lineRule="atLeast" w:line="320" w:before="0" w:after="120"/>
        <w:jc w:val="both"/>
        <w:rPr>
          <w:rFonts w:ascii="Calibri" w:hAnsi="Calibri"/>
          <w:i w:val="false"/>
          <w:i w:val="false"/>
          <w:iCs w:val="false"/>
          <w:sz w:val="22"/>
          <w:szCs w:val="22"/>
        </w:rPr>
      </w:pPr>
      <w:r>
        <w:rPr>
          <w:rFonts w:ascii="Calibri" w:hAnsi="Calibri"/>
          <w:i w:val="false"/>
          <w:iCs w:val="false"/>
          <w:sz w:val="22"/>
          <w:szCs w:val="22"/>
        </w:rPr>
      </w:r>
    </w:p>
    <w:p>
      <w:pPr>
        <w:pStyle w:val="Titolo2"/>
        <w:spacing w:lineRule="atLeast" w:line="320" w:before="0" w:after="120"/>
        <w:jc w:val="both"/>
        <w:rPr>
          <w:rFonts w:ascii="Calibri" w:hAnsi="Calibri"/>
          <w:i w:val="false"/>
          <w:i w:val="false"/>
          <w:iCs w:val="false"/>
          <w:sz w:val="22"/>
          <w:szCs w:val="22"/>
        </w:rPr>
      </w:pPr>
      <w:bookmarkStart w:id="8" w:name="_Toc152228333"/>
      <w:r>
        <w:rPr>
          <w:rFonts w:ascii="Calibri" w:hAnsi="Calibri"/>
          <w:i w:val="false"/>
          <w:iCs w:val="false"/>
          <w:sz w:val="22"/>
          <w:szCs w:val="22"/>
        </w:rPr>
        <w:t>2.2.2 RICOVERI MEDICI E CHIRURGICI</w:t>
      </w:r>
      <w:bookmarkEnd w:id="8"/>
    </w:p>
    <w:p>
      <w:pPr>
        <w:pStyle w:val="Normal"/>
        <w:spacing w:lineRule="atLeast" w:line="320" w:before="0" w:after="120"/>
        <w:jc w:val="both"/>
        <w:rPr>
          <w:rFonts w:ascii="Calibri" w:hAnsi="Calibri" w:cs="Arial"/>
          <w:sz w:val="22"/>
          <w:szCs w:val="22"/>
        </w:rPr>
      </w:pPr>
      <w:r>
        <w:rPr>
          <w:rFonts w:cs="Arial" w:ascii="Calibri" w:hAnsi="Calibri"/>
          <w:sz w:val="22"/>
          <w:szCs w:val="22"/>
        </w:rPr>
        <w:t>Il confronto tra DRG medici e chirurgici evidenzia l’impegno dell’Azienda per recuperare l’attività chirurgica rimasta indietro a causa dell’impatto pandemico; tale impegno ha determinato un aumento dei DGR chirurgici (+9,1%) a fronte di una diminuzione di quelli medici (-6,5%) (Tabella 7).</w:t>
      </w:r>
    </w:p>
    <w:p>
      <w:pPr>
        <w:pStyle w:val="Normal"/>
        <w:spacing w:lineRule="atLeast" w:line="320" w:before="0" w:after="120"/>
        <w:rPr>
          <w:color w:val="000000"/>
        </w:rPr>
      </w:pPr>
      <w:r>
        <w:rPr>
          <w:rFonts w:cs="Calibri" w:ascii="Calibri" w:hAnsi="Calibri"/>
          <w:b/>
          <w:bCs/>
          <w:color w:val="000000"/>
          <w:sz w:val="22"/>
          <w:szCs w:val="22"/>
        </w:rPr>
        <w:t>Tabella 7. Ricoveri avvenuti nelle strutture dell’AUSL Toscana Centro per tipologia di DRG, anni 2021-2022</w:t>
      </w:r>
    </w:p>
    <w:tbl>
      <w:tblPr>
        <w:tblStyle w:val="Tabellagriglia4-colore51"/>
        <w:tblW w:w="680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97"/>
        <w:gridCol w:w="2664"/>
        <w:gridCol w:w="713"/>
        <w:gridCol w:w="665"/>
        <w:gridCol w:w="665"/>
        <w:gridCol w:w="701"/>
        <w:gridCol w:w="701"/>
      </w:tblGrid>
      <w:tr>
        <w:trPr>
          <w:trHeight w:val="227" w:hRule="atLeast"/>
        </w:trPr>
        <w:tc>
          <w:tcPr>
            <w:tcW w:w="697" w:type="dxa"/>
            <w:vMerge w:val="restart"/>
            <w:tcBorders/>
          </w:tcPr>
          <w:p>
            <w:pPr>
              <w:pStyle w:val="Normal"/>
              <w:widowControl/>
              <w:suppressAutoHyphens w:val="false"/>
              <w:spacing w:before="0" w:after="0"/>
              <w:jc w:val="center"/>
              <w:rPr>
                <w:rFonts w:cs="Calibri"/>
                <w:b/>
                <w:b/>
                <w:bCs/>
                <w:color w:val="000000"/>
                <w:sz w:val="16"/>
                <w:szCs w:val="16"/>
              </w:rPr>
            </w:pPr>
            <w:r>
              <w:rPr>
                <w:rFonts w:eastAsia="Times New Roman" w:cs="Calibri" w:ascii="Calibri" w:hAnsi="Calibri"/>
                <w:b/>
                <w:bCs/>
                <w:color w:val="000000"/>
                <w:kern w:val="0"/>
                <w:sz w:val="16"/>
                <w:szCs w:val="16"/>
                <w:lang w:val="it-IT" w:eastAsia="en-US" w:bidi="ar-SA"/>
              </w:rPr>
              <w:t>Zona</w:t>
            </w:r>
          </w:p>
        </w:tc>
        <w:tc>
          <w:tcPr>
            <w:tcW w:w="2664" w:type="dxa"/>
            <w:vMerge w:val="restart"/>
            <w:tcBorders/>
          </w:tcPr>
          <w:p>
            <w:pPr>
              <w:pStyle w:val="Normal"/>
              <w:widowControl/>
              <w:suppressAutoHyphens w:val="false"/>
              <w:spacing w:before="0" w:after="0"/>
              <w:jc w:val="center"/>
              <w:rPr>
                <w:rFonts w:cs="Calibri"/>
                <w:b/>
                <w:b/>
                <w:bCs/>
                <w:color w:val="000000"/>
                <w:sz w:val="16"/>
                <w:szCs w:val="16"/>
              </w:rPr>
            </w:pPr>
            <w:r>
              <w:rPr>
                <w:rFonts w:eastAsia="Times New Roman" w:cs="Calibri" w:ascii="Calibri" w:hAnsi="Calibri"/>
                <w:b/>
                <w:bCs/>
                <w:color w:val="000000"/>
                <w:kern w:val="0"/>
                <w:sz w:val="16"/>
                <w:szCs w:val="16"/>
                <w:lang w:val="it-IT" w:eastAsia="en-US" w:bidi="ar-SA"/>
              </w:rPr>
              <w:t>Presidio</w:t>
            </w:r>
          </w:p>
        </w:tc>
        <w:tc>
          <w:tcPr>
            <w:tcW w:w="713" w:type="dxa"/>
            <w:vMerge w:val="restart"/>
            <w:tcBorders/>
          </w:tcPr>
          <w:p>
            <w:pPr>
              <w:pStyle w:val="Normal"/>
              <w:widowControl/>
              <w:suppressAutoHyphens w:val="false"/>
              <w:spacing w:before="0" w:after="0"/>
              <w:jc w:val="center"/>
              <w:rPr>
                <w:rFonts w:cs="Calibri"/>
                <w:b/>
                <w:b/>
                <w:bCs/>
                <w:color w:val="000000"/>
                <w:sz w:val="16"/>
                <w:szCs w:val="16"/>
              </w:rPr>
            </w:pPr>
            <w:r>
              <w:rPr>
                <w:rFonts w:eastAsia="Times New Roman" w:cs="Calibri" w:ascii="Calibri" w:hAnsi="Calibri"/>
                <w:b/>
                <w:bCs/>
                <w:color w:val="000000"/>
                <w:kern w:val="0"/>
                <w:sz w:val="16"/>
                <w:szCs w:val="16"/>
                <w:lang w:val="it-IT" w:eastAsia="en-US" w:bidi="ar-SA"/>
              </w:rPr>
              <w:t>Regime</w:t>
            </w:r>
          </w:p>
        </w:tc>
        <w:tc>
          <w:tcPr>
            <w:tcW w:w="1330" w:type="dxa"/>
            <w:gridSpan w:val="2"/>
            <w:tcBorders/>
          </w:tcPr>
          <w:p>
            <w:pPr>
              <w:pStyle w:val="Normal"/>
              <w:widowControl/>
              <w:suppressAutoHyphens w:val="false"/>
              <w:spacing w:before="0" w:after="0"/>
              <w:jc w:val="center"/>
              <w:rPr>
                <w:rFonts w:cs="Calibri"/>
                <w:b/>
                <w:b/>
                <w:bCs/>
                <w:color w:val="000000"/>
                <w:sz w:val="16"/>
                <w:szCs w:val="16"/>
              </w:rPr>
            </w:pPr>
            <w:r>
              <w:rPr>
                <w:rFonts w:eastAsia="Times New Roman" w:cs="Calibri" w:ascii="Calibri" w:hAnsi="Calibri"/>
                <w:b/>
                <w:bCs/>
                <w:color w:val="000000"/>
                <w:kern w:val="0"/>
                <w:sz w:val="16"/>
                <w:szCs w:val="16"/>
                <w:lang w:val="it-IT" w:eastAsia="en-US" w:bidi="ar-SA"/>
              </w:rPr>
              <w:t>Ricoveri medici</w:t>
            </w:r>
          </w:p>
        </w:tc>
        <w:tc>
          <w:tcPr>
            <w:tcW w:w="1402" w:type="dxa"/>
            <w:gridSpan w:val="2"/>
            <w:tcBorders/>
          </w:tcPr>
          <w:p>
            <w:pPr>
              <w:pStyle w:val="Normal"/>
              <w:widowControl/>
              <w:suppressAutoHyphens w:val="false"/>
              <w:spacing w:before="0" w:after="0"/>
              <w:jc w:val="center"/>
              <w:rPr>
                <w:rFonts w:cs="Calibri"/>
                <w:b/>
                <w:b/>
                <w:bCs/>
                <w:color w:val="000000"/>
                <w:sz w:val="16"/>
                <w:szCs w:val="16"/>
              </w:rPr>
            </w:pPr>
            <w:r>
              <w:rPr>
                <w:rFonts w:eastAsia="Times New Roman" w:cs="Calibri" w:ascii="Calibri" w:hAnsi="Calibri"/>
                <w:b/>
                <w:bCs/>
                <w:color w:val="000000"/>
                <w:kern w:val="0"/>
                <w:sz w:val="16"/>
                <w:szCs w:val="16"/>
                <w:lang w:val="it-IT" w:eastAsia="en-US" w:bidi="ar-SA"/>
              </w:rPr>
              <w:t>Ricoveri chirurgici</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713"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665" w:type="dxa"/>
            <w:tcBorders/>
          </w:tcPr>
          <w:p>
            <w:pPr>
              <w:pStyle w:val="Normal"/>
              <w:widowControl/>
              <w:suppressAutoHyphens w:val="false"/>
              <w:spacing w:before="0" w:after="0"/>
              <w:jc w:val="right"/>
              <w:rPr>
                <w:rFonts w:cs="Calibri"/>
                <w:b/>
                <w:b/>
                <w:bCs/>
                <w:color w:val="000000"/>
                <w:sz w:val="16"/>
                <w:szCs w:val="16"/>
              </w:rPr>
            </w:pPr>
            <w:r>
              <w:rPr>
                <w:rFonts w:eastAsia="Times New Roman" w:cs="Calibri" w:ascii="Calibri" w:hAnsi="Calibri"/>
                <w:b/>
                <w:bCs/>
                <w:color w:val="000000"/>
                <w:kern w:val="0"/>
                <w:sz w:val="16"/>
                <w:szCs w:val="16"/>
                <w:lang w:val="it-IT" w:eastAsia="en-US" w:bidi="ar-SA"/>
              </w:rPr>
              <w:t>2022</w:t>
            </w:r>
          </w:p>
        </w:tc>
        <w:tc>
          <w:tcPr>
            <w:tcW w:w="665" w:type="dxa"/>
            <w:tcBorders/>
          </w:tcPr>
          <w:p>
            <w:pPr>
              <w:pStyle w:val="Normal"/>
              <w:widowControl/>
              <w:suppressAutoHyphens w:val="false"/>
              <w:spacing w:before="0" w:after="0"/>
              <w:jc w:val="right"/>
              <w:rPr>
                <w:rFonts w:cs="Calibri"/>
                <w:b/>
                <w:b/>
                <w:bCs/>
                <w:color w:val="000000"/>
                <w:sz w:val="16"/>
                <w:szCs w:val="16"/>
              </w:rPr>
            </w:pPr>
            <w:r>
              <w:rPr>
                <w:rFonts w:eastAsia="Times New Roman" w:cs="Calibri" w:ascii="Calibri" w:hAnsi="Calibri"/>
                <w:b/>
                <w:bCs/>
                <w:color w:val="000000"/>
                <w:kern w:val="0"/>
                <w:sz w:val="16"/>
                <w:szCs w:val="16"/>
                <w:lang w:val="it-IT" w:eastAsia="en-US" w:bidi="ar-SA"/>
              </w:rPr>
              <w:t>2021</w:t>
            </w:r>
          </w:p>
        </w:tc>
        <w:tc>
          <w:tcPr>
            <w:tcW w:w="701" w:type="dxa"/>
            <w:tcBorders/>
          </w:tcPr>
          <w:p>
            <w:pPr>
              <w:pStyle w:val="Normal"/>
              <w:widowControl/>
              <w:suppressAutoHyphens w:val="false"/>
              <w:spacing w:before="0" w:after="0"/>
              <w:jc w:val="right"/>
              <w:rPr>
                <w:rFonts w:cs="Calibri"/>
                <w:b/>
                <w:b/>
                <w:bCs/>
                <w:color w:val="000000"/>
                <w:sz w:val="16"/>
                <w:szCs w:val="16"/>
              </w:rPr>
            </w:pPr>
            <w:r>
              <w:rPr>
                <w:rFonts w:eastAsia="Times New Roman" w:cs="Calibri" w:ascii="Calibri" w:hAnsi="Calibri"/>
                <w:b/>
                <w:bCs/>
                <w:color w:val="000000"/>
                <w:kern w:val="0"/>
                <w:sz w:val="16"/>
                <w:szCs w:val="16"/>
                <w:lang w:val="it-IT" w:eastAsia="en-US" w:bidi="ar-SA"/>
              </w:rPr>
              <w:t>2022</w:t>
            </w:r>
          </w:p>
        </w:tc>
        <w:tc>
          <w:tcPr>
            <w:tcW w:w="701" w:type="dxa"/>
            <w:tcBorders/>
          </w:tcPr>
          <w:p>
            <w:pPr>
              <w:pStyle w:val="Normal"/>
              <w:widowControl/>
              <w:suppressAutoHyphens w:val="false"/>
              <w:spacing w:before="0" w:after="0"/>
              <w:jc w:val="right"/>
              <w:rPr>
                <w:rFonts w:cs="Calibri"/>
                <w:b/>
                <w:b/>
                <w:bCs/>
                <w:color w:val="000000"/>
                <w:sz w:val="16"/>
                <w:szCs w:val="16"/>
              </w:rPr>
            </w:pPr>
            <w:r>
              <w:rPr>
                <w:rFonts w:eastAsia="Times New Roman" w:cs="Calibri" w:ascii="Calibri" w:hAnsi="Calibri"/>
                <w:b/>
                <w:bCs/>
                <w:color w:val="000000"/>
                <w:kern w:val="0"/>
                <w:sz w:val="16"/>
                <w:szCs w:val="16"/>
                <w:lang w:val="it-IT" w:eastAsia="en-US" w:bidi="ar-SA"/>
              </w:rPr>
              <w:t>2021</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Ospedale S. Giuseppe</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Ord.</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9.792</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9.794</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4.124</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3712</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Ospedale S. Giuseppe</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D.H.</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873</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871</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1.231</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1.153</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Ospedale San Pietro Igneo</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Ord.</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17</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397</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486</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435</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Ospedale San Pietro Igneo</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D.H.</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5</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5</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275</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146</w:t>
            </w:r>
          </w:p>
        </w:tc>
      </w:tr>
      <w:tr>
        <w:trPr>
          <w:trHeight w:val="227" w:hRule="atLeast"/>
        </w:trPr>
        <w:tc>
          <w:tcPr>
            <w:tcW w:w="697" w:type="dxa"/>
            <w:vMerge w:val="restart"/>
            <w:tcBorders/>
          </w:tcPr>
          <w:p>
            <w:pPr>
              <w:pStyle w:val="Normal"/>
              <w:widowControl/>
              <w:suppressAutoHyphens w:val="false"/>
              <w:spacing w:before="0" w:after="0"/>
              <w:jc w:val="center"/>
              <w:rPr>
                <w:rFonts w:cs="Calibri"/>
                <w:b/>
                <w:b/>
                <w:bCs/>
                <w:color w:val="000000"/>
                <w:sz w:val="16"/>
                <w:szCs w:val="16"/>
              </w:rPr>
            </w:pPr>
            <w:r>
              <w:rPr>
                <w:rFonts w:eastAsia="Times New Roman" w:cs="Calibri" w:ascii="Calibri" w:hAnsi="Calibri"/>
                <w:b/>
                <w:bCs/>
                <w:color w:val="000000"/>
                <w:kern w:val="0"/>
                <w:sz w:val="16"/>
                <w:szCs w:val="16"/>
                <w:lang w:val="it-IT" w:eastAsia="en-US" w:bidi="ar-SA"/>
              </w:rPr>
              <w:t>Firenze</w:t>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I.O.T. Firenze</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Ord.</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0</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41</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9</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I.O.T. Firenze</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D.H.</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328</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339</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2.593</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2.369</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Nuovo Ospedale Borgo S. Lorenzo (FI)</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Ord.</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2.618</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3.024</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1.368</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1344</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Nuovo Ospedale Borgo S. Lorenzo (FI)</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D.H.</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180</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186</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475</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487</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S. Maria Nuova Firenze</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Ord.</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2.868</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3.395</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2.024</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1724</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S. Maria Nuova Firenze</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D.H.</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189</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220</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628</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518</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S. Giovanni Di Dio-Torregalli (FI)</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Ord.</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8.012</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8.543</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3.893</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3857</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S. Giovanni Di Dio-Torregalli (FI)</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D.H.</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943</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911</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516</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889</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S.M. Annunziata Bagno a Ripoli</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Ord.</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6.244</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6.786</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5.073</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4976</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S.M. Annunziata Bagno a Ripoli</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D.H.</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753</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867</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596</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682</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Serristori Figline V.A. (FI)</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Ord.</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508</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839</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672</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367</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Serristori Figline V.A. (FI)</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D.H.</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164</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197</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431</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240</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Spdc Oblate</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Ord.</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430</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373</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0</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 </w:t>
            </w:r>
            <w:r>
              <w:rPr>
                <w:rFonts w:eastAsia="Times New Roman" w:cs="Calibri" w:ascii="Calibri" w:hAnsi="Calibri"/>
                <w:color w:val="000000"/>
                <w:kern w:val="0"/>
                <w:sz w:val="16"/>
                <w:szCs w:val="16"/>
                <w:lang w:val="it-IT" w:eastAsia="en-US" w:bidi="ar-SA"/>
              </w:rPr>
              <w:t>0</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Spdc Oblate</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D.H.</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0</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0</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0</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 </w:t>
            </w:r>
            <w:r>
              <w:rPr>
                <w:rFonts w:eastAsia="Times New Roman" w:cs="Calibri" w:ascii="Calibri" w:hAnsi="Calibri"/>
                <w:color w:val="000000"/>
                <w:kern w:val="0"/>
                <w:sz w:val="16"/>
                <w:szCs w:val="16"/>
                <w:lang w:val="it-IT" w:eastAsia="en-US" w:bidi="ar-SA"/>
              </w:rPr>
              <w:t>0</w:t>
            </w:r>
          </w:p>
        </w:tc>
      </w:tr>
      <w:tr>
        <w:trPr>
          <w:trHeight w:val="227" w:hRule="atLeast"/>
        </w:trPr>
        <w:tc>
          <w:tcPr>
            <w:tcW w:w="697" w:type="dxa"/>
            <w:vMerge w:val="restart"/>
            <w:tcBorders/>
          </w:tcPr>
          <w:p>
            <w:pPr>
              <w:pStyle w:val="Normal"/>
              <w:widowControl/>
              <w:suppressAutoHyphens w:val="false"/>
              <w:spacing w:before="0" w:after="0"/>
              <w:jc w:val="center"/>
              <w:rPr>
                <w:rFonts w:cs="Calibri"/>
                <w:b/>
                <w:b/>
                <w:bCs/>
                <w:color w:val="000000"/>
                <w:sz w:val="16"/>
                <w:szCs w:val="16"/>
              </w:rPr>
            </w:pPr>
            <w:r>
              <w:rPr>
                <w:rFonts w:eastAsia="Times New Roman" w:cs="Calibri" w:ascii="Calibri" w:hAnsi="Calibri"/>
                <w:b/>
                <w:bCs/>
                <w:color w:val="000000"/>
                <w:kern w:val="0"/>
                <w:sz w:val="16"/>
                <w:szCs w:val="16"/>
                <w:lang w:val="it-IT" w:eastAsia="en-US" w:bidi="ar-SA"/>
              </w:rPr>
              <w:t>Pistoia</w:t>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Lorenzo Pacini</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Ord.</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632</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696</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18</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18</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Lorenzo Pacini</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D.H.</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0</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0</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0</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0</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San Jacopo</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Ord.</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9.631</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9.695</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4.518</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4001</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San Jacopo</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D.H.</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737</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745</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1.313</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1.163</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SS Cosma e Damiano</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Ord.</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5.104</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5.928</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1.791</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1629</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SS Cosma e Damiano</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D.H.</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399</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524</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742</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508</w:t>
            </w:r>
          </w:p>
        </w:tc>
      </w:tr>
      <w:tr>
        <w:trPr>
          <w:trHeight w:val="53" w:hRule="atLeast"/>
        </w:trPr>
        <w:tc>
          <w:tcPr>
            <w:tcW w:w="697" w:type="dxa"/>
            <w:vMerge w:val="restart"/>
            <w:tcBorders/>
          </w:tcPr>
          <w:p>
            <w:pPr>
              <w:pStyle w:val="Normal"/>
              <w:widowControl/>
              <w:suppressAutoHyphens w:val="false"/>
              <w:spacing w:before="0" w:after="0"/>
              <w:jc w:val="center"/>
              <w:rPr>
                <w:rFonts w:cs="Calibri"/>
                <w:b/>
                <w:b/>
                <w:bCs/>
                <w:color w:val="000000"/>
                <w:sz w:val="16"/>
                <w:szCs w:val="16"/>
              </w:rPr>
            </w:pPr>
            <w:r>
              <w:rPr>
                <w:rFonts w:eastAsia="Times New Roman" w:cs="Calibri" w:ascii="Calibri" w:hAnsi="Calibri"/>
                <w:b/>
                <w:bCs/>
                <w:color w:val="000000"/>
                <w:kern w:val="0"/>
                <w:sz w:val="16"/>
                <w:szCs w:val="16"/>
                <w:lang w:val="it-IT" w:eastAsia="en-US" w:bidi="ar-SA"/>
              </w:rPr>
              <w:t>Prato</w:t>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Santo Stefano</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Ord.</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15.346</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16.028</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6.667</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6143</w:t>
            </w:r>
          </w:p>
        </w:tc>
      </w:tr>
      <w:tr>
        <w:trPr>
          <w:trHeight w:val="227" w:hRule="atLeast"/>
        </w:trPr>
        <w:tc>
          <w:tcPr>
            <w:tcW w:w="697" w:type="dxa"/>
            <w:vMerge w:val="continue"/>
            <w:tcBorders/>
          </w:tcPr>
          <w:p>
            <w:pPr>
              <w:pStyle w:val="Normal"/>
              <w:widowControl/>
              <w:suppressAutoHyphens w:val="false"/>
              <w:spacing w:before="0" w:after="0"/>
              <w:jc w:val="left"/>
              <w:rPr>
                <w:rFonts w:cs="Calibri"/>
                <w:b/>
                <w:b/>
                <w:bCs/>
                <w:color w:val="000000"/>
                <w:sz w:val="16"/>
                <w:szCs w:val="16"/>
              </w:rPr>
            </w:pPr>
            <w:r>
              <w:rPr>
                <w:rFonts w:eastAsia="Times New Roman" w:cs="Calibri"/>
                <w:b/>
                <w:bCs/>
                <w:color w:val="000000"/>
                <w:kern w:val="0"/>
                <w:sz w:val="16"/>
                <w:szCs w:val="16"/>
                <w:lang w:val="it-IT" w:eastAsia="en-US" w:bidi="ar-SA"/>
              </w:rPr>
            </w:r>
          </w:p>
        </w:tc>
        <w:tc>
          <w:tcPr>
            <w:tcW w:w="2664"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Santo Stefano</w:t>
            </w:r>
          </w:p>
        </w:tc>
        <w:tc>
          <w:tcPr>
            <w:tcW w:w="713"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D.H.</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1.564</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1.629</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2.700</w:t>
            </w:r>
          </w:p>
        </w:tc>
        <w:tc>
          <w:tcPr>
            <w:tcW w:w="701"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6"/>
                <w:szCs w:val="16"/>
                <w:lang w:val="it-IT" w:eastAsia="en-US" w:bidi="ar-SA"/>
              </w:rPr>
              <w:t>2.255</w:t>
            </w:r>
          </w:p>
        </w:tc>
      </w:tr>
      <w:tr>
        <w:trPr>
          <w:trHeight w:val="227" w:hRule="atLeast"/>
        </w:trPr>
        <w:tc>
          <w:tcPr>
            <w:tcW w:w="4074" w:type="dxa"/>
            <w:gridSpan w:val="3"/>
            <w:tcBorders/>
          </w:tcPr>
          <w:p>
            <w:pPr>
              <w:pStyle w:val="Normal"/>
              <w:widowControl/>
              <w:suppressAutoHyphens w:val="false"/>
              <w:spacing w:before="0" w:after="0"/>
              <w:jc w:val="center"/>
              <w:rPr>
                <w:rFonts w:cs="Calibri"/>
                <w:b/>
                <w:b/>
                <w:bCs/>
                <w:color w:val="000000"/>
                <w:sz w:val="16"/>
                <w:szCs w:val="16"/>
              </w:rPr>
            </w:pPr>
            <w:r>
              <w:rPr>
                <w:rFonts w:eastAsia="Times New Roman" w:cs="Calibri" w:ascii="Calibri" w:hAnsi="Calibri"/>
                <w:b/>
                <w:bCs/>
                <w:color w:val="000000"/>
                <w:kern w:val="0"/>
                <w:sz w:val="16"/>
                <w:szCs w:val="16"/>
                <w:lang w:val="it-IT" w:eastAsia="en-US" w:bidi="ar-SA"/>
              </w:rPr>
              <w:t>AUSL TC</w:t>
            </w:r>
          </w:p>
        </w:tc>
        <w:tc>
          <w:tcPr>
            <w:tcW w:w="665"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b/>
                <w:bCs/>
                <w:color w:val="000000"/>
                <w:kern w:val="0"/>
                <w:sz w:val="16"/>
                <w:szCs w:val="16"/>
                <w:lang w:val="it-IT" w:eastAsia="en-US" w:bidi="ar-SA"/>
              </w:rPr>
              <w:t>67.337</w:t>
            </w:r>
          </w:p>
        </w:tc>
        <w:tc>
          <w:tcPr>
            <w:tcW w:w="665" w:type="dxa"/>
            <w:tcBorders/>
          </w:tcPr>
          <w:p>
            <w:pPr>
              <w:pStyle w:val="Normal"/>
              <w:widowControl/>
              <w:suppressAutoHyphens w:val="false"/>
              <w:spacing w:before="0" w:after="0"/>
              <w:jc w:val="right"/>
              <w:rPr>
                <w:rFonts w:cs="Calibri"/>
                <w:b/>
                <w:b/>
                <w:bCs/>
                <w:color w:val="000000"/>
                <w:sz w:val="16"/>
                <w:szCs w:val="16"/>
              </w:rPr>
            </w:pPr>
            <w:r>
              <w:rPr>
                <w:rFonts w:eastAsia="Times New Roman" w:cs="Calibri" w:ascii="Calibri" w:hAnsi="Calibri"/>
                <w:b/>
                <w:bCs/>
                <w:color w:val="000000"/>
                <w:kern w:val="0"/>
                <w:sz w:val="16"/>
                <w:szCs w:val="16"/>
                <w:lang w:val="it-IT" w:eastAsia="en-US" w:bidi="ar-SA"/>
              </w:rPr>
              <w:t>72.033</w:t>
            </w:r>
          </w:p>
        </w:tc>
        <w:tc>
          <w:tcPr>
            <w:tcW w:w="701" w:type="dxa"/>
            <w:tcBorders/>
          </w:tcPr>
          <w:p>
            <w:pPr>
              <w:pStyle w:val="Normal"/>
              <w:widowControl/>
              <w:suppressAutoHyphens w:val="false"/>
              <w:spacing w:before="0" w:after="0"/>
              <w:jc w:val="right"/>
              <w:rPr>
                <w:rFonts w:cs="Calibri"/>
                <w:b/>
                <w:b/>
                <w:bCs/>
                <w:color w:val="000000"/>
                <w:sz w:val="16"/>
                <w:szCs w:val="16"/>
              </w:rPr>
            </w:pPr>
            <w:r>
              <w:rPr>
                <w:rFonts w:eastAsia="Times New Roman" w:cs="Calibri" w:ascii="Calibri" w:hAnsi="Calibri"/>
                <w:b/>
                <w:bCs/>
                <w:color w:val="000000"/>
                <w:kern w:val="0"/>
                <w:sz w:val="16"/>
                <w:szCs w:val="16"/>
                <w:lang w:val="it-IT" w:eastAsia="en-US" w:bidi="ar-SA"/>
              </w:rPr>
              <w:t>42.135</w:t>
            </w:r>
          </w:p>
        </w:tc>
        <w:tc>
          <w:tcPr>
            <w:tcW w:w="701" w:type="dxa"/>
            <w:tcBorders/>
          </w:tcPr>
          <w:p>
            <w:pPr>
              <w:pStyle w:val="Normal"/>
              <w:widowControl/>
              <w:suppressAutoHyphens w:val="false"/>
              <w:spacing w:before="0" w:after="0"/>
              <w:jc w:val="right"/>
              <w:rPr>
                <w:rFonts w:cs="Calibri"/>
                <w:b/>
                <w:b/>
                <w:bCs/>
                <w:color w:val="000000"/>
                <w:sz w:val="16"/>
                <w:szCs w:val="16"/>
              </w:rPr>
            </w:pPr>
            <w:r>
              <w:rPr>
                <w:rFonts w:eastAsia="Times New Roman" w:cs="Calibri" w:ascii="Calibri" w:hAnsi="Calibri"/>
                <w:b/>
                <w:bCs/>
                <w:color w:val="000000"/>
                <w:kern w:val="0"/>
                <w:sz w:val="16"/>
                <w:szCs w:val="16"/>
                <w:lang w:val="it-IT" w:eastAsia="en-US" w:bidi="ar-SA"/>
              </w:rPr>
              <w:t>38.625</w:t>
            </w:r>
          </w:p>
        </w:tc>
      </w:tr>
    </w:tbl>
    <w:p>
      <w:pPr>
        <w:pStyle w:val="Normal"/>
        <w:suppressAutoHyphens w:val="false"/>
        <w:jc w:val="both"/>
        <w:rPr>
          <w:rFonts w:ascii="Calibri" w:hAnsi="Calibri" w:cs="Arial"/>
          <w:sz w:val="18"/>
          <w:szCs w:val="18"/>
        </w:rPr>
      </w:pPr>
      <w:r>
        <w:rPr>
          <w:rFonts w:cs="Arial" w:ascii="Calibri" w:hAnsi="Calibri"/>
          <w:sz w:val="18"/>
          <w:szCs w:val="18"/>
        </w:rPr>
        <w:t>Fonte: WAB Focus: Presidio Ospedaliero, Anno: 2021 e 2022. Periodo: gennaio-dicembre. Ambito: Tutte Struttura: Tutte, Reparto: Tutti, Regime: Tutti (righe separate Ordinari e D.H.), Export dati del 14/06/2023 11.55.11</w:t>
      </w:r>
    </w:p>
    <w:p>
      <w:pPr>
        <w:pStyle w:val="Normal"/>
        <w:suppressAutoHyphens w:val="false"/>
        <w:spacing w:lineRule="atLeast" w:line="320" w:before="0" w:after="120"/>
        <w:jc w:val="both"/>
        <w:rPr>
          <w:rFonts w:ascii="Calibri" w:hAnsi="Calibri" w:cs="Arial"/>
          <w:sz w:val="18"/>
          <w:szCs w:val="18"/>
        </w:rPr>
      </w:pPr>
      <w:r>
        <w:rPr>
          <w:rFonts w:cs="Arial" w:ascii="Calibri" w:hAnsi="Calibri"/>
          <w:sz w:val="18"/>
          <w:szCs w:val="18"/>
        </w:rPr>
      </w:r>
    </w:p>
    <w:p>
      <w:pPr>
        <w:pStyle w:val="Titolo2"/>
        <w:spacing w:lineRule="atLeast" w:line="320" w:before="0" w:after="120"/>
        <w:jc w:val="both"/>
        <w:rPr>
          <w:rFonts w:ascii="Calibri" w:hAnsi="Calibri"/>
          <w:i w:val="false"/>
          <w:i w:val="false"/>
          <w:iCs w:val="false"/>
          <w:sz w:val="22"/>
          <w:szCs w:val="22"/>
        </w:rPr>
      </w:pPr>
      <w:bookmarkStart w:id="9" w:name="_Toc152228334"/>
      <w:r>
        <w:rPr>
          <w:rFonts w:ascii="Calibri" w:hAnsi="Calibri"/>
          <w:i w:val="false"/>
          <w:iCs w:val="false"/>
          <w:sz w:val="22"/>
          <w:szCs w:val="22"/>
        </w:rPr>
        <w:t>2.2.3 ELENCO DEI PRIMI RICOVERI PER VOLUMI</w:t>
      </w:r>
      <w:bookmarkEnd w:id="9"/>
      <w:r>
        <w:rPr>
          <w:rFonts w:ascii="Calibri" w:hAnsi="Calibri"/>
          <w:i w:val="false"/>
          <w:iCs w:val="false"/>
          <w:sz w:val="22"/>
          <w:szCs w:val="22"/>
        </w:rPr>
        <w:t xml:space="preserve"> </w:t>
      </w:r>
    </w:p>
    <w:p>
      <w:pPr>
        <w:pStyle w:val="Normal"/>
        <w:spacing w:lineRule="atLeast" w:line="320" w:before="0" w:after="120"/>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La classifica è analoga a quella dell’anno precedente (Tabella 8), con il DRG 79 (Infezioni e infiammazioni respiratorie, età &gt; 17 anni con CC) riconducibile a CoViD che passa dal primo al terzo posto, scambiandosi di posizione con il DRG 87 “Edema polmonare e insufficienza respiratoria”. Si evidenzia un’importante scalata dalla ventesima alla decima posizione per il DRG Chirurgico - Interventi per ernia inguinale e femorale, età &gt; 17 anni senza CC, legato al Piano di Recupero delle Liste di Attesa per questo quadro nosologico.</w:t>
      </w:r>
    </w:p>
    <w:p>
      <w:pPr>
        <w:pStyle w:val="Normal"/>
        <w:spacing w:lineRule="atLeast" w:line="320" w:before="0" w:after="120"/>
        <w:jc w:val="both"/>
        <w:rPr>
          <w:rFonts w:ascii="Calibri" w:hAnsi="Calibri" w:cs="Calibri" w:asciiTheme="minorHAnsi" w:cstheme="minorHAnsi" w:hAnsiTheme="minorHAnsi"/>
          <w:sz w:val="22"/>
          <w:szCs w:val="22"/>
        </w:rPr>
      </w:pPr>
      <w:r>
        <w:rPr>
          <w:rFonts w:cs="Calibri" w:cstheme="minorHAnsi" w:ascii="Calibri" w:hAnsi="Calibri"/>
          <w:sz w:val="22"/>
          <w:szCs w:val="22"/>
        </w:rPr>
      </w:r>
      <w:r>
        <w:br w:type="page"/>
      </w:r>
    </w:p>
    <w:p>
      <w:pPr>
        <w:pStyle w:val="Normal"/>
        <w:suppressAutoHyphens w:val="false"/>
        <w:jc w:val="both"/>
        <w:rPr>
          <w:rFonts w:ascii="Calibri" w:hAnsi="Calibri" w:cs="Arial"/>
          <w:sz w:val="22"/>
          <w:szCs w:val="22"/>
        </w:rPr>
      </w:pPr>
      <w:r>
        <w:rPr>
          <w:rFonts w:cs="Arial" w:ascii="Calibri" w:hAnsi="Calibri"/>
          <w:sz w:val="22"/>
          <w:szCs w:val="22"/>
        </w:rPr>
      </w:r>
    </w:p>
    <w:p>
      <w:pPr>
        <w:pStyle w:val="Normal"/>
        <w:spacing w:lineRule="atLeast" w:line="320" w:before="0" w:after="120"/>
        <w:rPr>
          <w:color w:val="000000"/>
        </w:rPr>
      </w:pPr>
      <w:r>
        <w:rPr>
          <w:rFonts w:cs="Calibri" w:ascii="Calibri" w:hAnsi="Calibri"/>
          <w:b/>
          <w:bCs/>
          <w:color w:val="000000"/>
          <w:sz w:val="22"/>
          <w:szCs w:val="22"/>
        </w:rPr>
        <w:t>Tabella 8. Elenco dei primi ricoveri per volumi nella AUSL Toscana Centro, anni 2021-2022</w:t>
      </w:r>
    </w:p>
    <w:tbl>
      <w:tblPr>
        <w:tblStyle w:val="Tabellagriglia4-colore51"/>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09"/>
        <w:gridCol w:w="5859"/>
        <w:gridCol w:w="812"/>
        <w:gridCol w:w="791"/>
        <w:gridCol w:w="812"/>
        <w:gridCol w:w="844"/>
      </w:tblGrid>
      <w:tr>
        <w:trPr>
          <w:trHeight w:val="300" w:hRule="atLeast"/>
        </w:trPr>
        <w:tc>
          <w:tcPr>
            <w:tcW w:w="509" w:type="dxa"/>
            <w:tcBorders/>
          </w:tcPr>
          <w:p>
            <w:pPr>
              <w:pStyle w:val="Normal"/>
              <w:widowControl/>
              <w:suppressAutoHyphens w:val="false"/>
              <w:spacing w:before="0" w:after="0"/>
              <w:jc w:val="center"/>
              <w:rPr>
                <w:rFonts w:cs="Calibri"/>
                <w:b/>
                <w:b/>
                <w:bCs/>
                <w:color w:val="000000"/>
                <w:sz w:val="16"/>
                <w:szCs w:val="16"/>
              </w:rPr>
            </w:pPr>
            <w:r>
              <w:rPr>
                <w:rFonts w:eastAsia="Times New Roman" w:cs="Calibri" w:ascii="Calibri" w:hAnsi="Calibri"/>
                <w:b/>
                <w:bCs/>
                <w:color w:val="000000"/>
                <w:kern w:val="0"/>
                <w:sz w:val="16"/>
                <w:szCs w:val="16"/>
                <w:lang w:val="it-IT" w:eastAsia="en-US" w:bidi="ar-SA"/>
              </w:rPr>
              <w:t>DRG</w:t>
            </w:r>
          </w:p>
        </w:tc>
        <w:tc>
          <w:tcPr>
            <w:tcW w:w="5859" w:type="dxa"/>
            <w:tcBorders/>
          </w:tcPr>
          <w:p>
            <w:pPr>
              <w:pStyle w:val="Normal"/>
              <w:widowControl/>
              <w:suppressAutoHyphens w:val="false"/>
              <w:spacing w:before="0" w:after="0"/>
              <w:jc w:val="center"/>
              <w:rPr>
                <w:rFonts w:cs="Calibri"/>
                <w:b/>
                <w:b/>
                <w:bCs/>
                <w:color w:val="000000"/>
                <w:sz w:val="16"/>
                <w:szCs w:val="16"/>
              </w:rPr>
            </w:pPr>
            <w:r>
              <w:rPr>
                <w:rFonts w:eastAsia="Times New Roman" w:cs="Calibri" w:ascii="Calibri" w:hAnsi="Calibri"/>
                <w:b/>
                <w:bCs/>
                <w:color w:val="000000"/>
                <w:kern w:val="0"/>
                <w:sz w:val="16"/>
                <w:szCs w:val="16"/>
                <w:lang w:val="it-IT" w:eastAsia="en-US" w:bidi="ar-SA"/>
              </w:rPr>
              <w:t>Descrizione</w:t>
            </w:r>
          </w:p>
        </w:tc>
        <w:tc>
          <w:tcPr>
            <w:tcW w:w="812" w:type="dxa"/>
            <w:tcBorders/>
          </w:tcPr>
          <w:p>
            <w:pPr>
              <w:pStyle w:val="Normal"/>
              <w:widowControl/>
              <w:suppressAutoHyphens w:val="false"/>
              <w:spacing w:before="0" w:after="0"/>
              <w:jc w:val="center"/>
              <w:rPr>
                <w:rFonts w:cs="Calibri"/>
                <w:b/>
                <w:b/>
                <w:bCs/>
                <w:color w:val="000000"/>
                <w:sz w:val="16"/>
                <w:szCs w:val="16"/>
              </w:rPr>
            </w:pPr>
            <w:r>
              <w:rPr>
                <w:rFonts w:eastAsia="Times New Roman" w:cs="Calibri" w:ascii="Calibri" w:hAnsi="Calibri"/>
                <w:b/>
                <w:bCs/>
                <w:color w:val="000000"/>
                <w:kern w:val="0"/>
                <w:sz w:val="16"/>
                <w:szCs w:val="16"/>
                <w:lang w:val="it-IT" w:eastAsia="en-US" w:bidi="ar-SA"/>
              </w:rPr>
              <w:t>Pos 2022</w:t>
            </w:r>
          </w:p>
        </w:tc>
        <w:tc>
          <w:tcPr>
            <w:tcW w:w="791" w:type="dxa"/>
            <w:tcBorders/>
          </w:tcPr>
          <w:p>
            <w:pPr>
              <w:pStyle w:val="Normal"/>
              <w:widowControl/>
              <w:suppressAutoHyphens w:val="false"/>
              <w:spacing w:before="0" w:after="0"/>
              <w:jc w:val="center"/>
              <w:rPr>
                <w:rFonts w:cs="Calibri"/>
                <w:b/>
                <w:b/>
                <w:bCs/>
                <w:color w:val="000000"/>
                <w:sz w:val="16"/>
                <w:szCs w:val="16"/>
              </w:rPr>
            </w:pPr>
            <w:r>
              <w:rPr>
                <w:rFonts w:eastAsia="Times New Roman" w:cs="Calibri" w:ascii="Calibri" w:hAnsi="Calibri"/>
                <w:b/>
                <w:bCs/>
                <w:color w:val="000000"/>
                <w:kern w:val="0"/>
                <w:sz w:val="16"/>
                <w:szCs w:val="16"/>
                <w:lang w:val="it-IT" w:eastAsia="en-US" w:bidi="ar-SA"/>
              </w:rPr>
              <w:t>casi2022</w:t>
            </w:r>
          </w:p>
        </w:tc>
        <w:tc>
          <w:tcPr>
            <w:tcW w:w="812" w:type="dxa"/>
            <w:tcBorders/>
          </w:tcPr>
          <w:p>
            <w:pPr>
              <w:pStyle w:val="Normal"/>
              <w:widowControl/>
              <w:suppressAutoHyphens w:val="false"/>
              <w:spacing w:before="0" w:after="0"/>
              <w:jc w:val="center"/>
              <w:rPr>
                <w:rFonts w:cs="Calibri"/>
                <w:b/>
                <w:b/>
                <w:bCs/>
                <w:color w:val="000000"/>
                <w:sz w:val="16"/>
                <w:szCs w:val="16"/>
              </w:rPr>
            </w:pPr>
            <w:r>
              <w:rPr>
                <w:rFonts w:eastAsia="Times New Roman" w:cs="Calibri" w:ascii="Calibri" w:hAnsi="Calibri"/>
                <w:b/>
                <w:bCs/>
                <w:color w:val="000000"/>
                <w:kern w:val="0"/>
                <w:sz w:val="16"/>
                <w:szCs w:val="16"/>
                <w:lang w:val="it-IT" w:eastAsia="en-US" w:bidi="ar-SA"/>
              </w:rPr>
              <w:t>pos 2021</w:t>
            </w:r>
          </w:p>
        </w:tc>
        <w:tc>
          <w:tcPr>
            <w:tcW w:w="844" w:type="dxa"/>
            <w:tcBorders/>
          </w:tcPr>
          <w:p>
            <w:pPr>
              <w:pStyle w:val="Normal"/>
              <w:widowControl/>
              <w:suppressAutoHyphens w:val="false"/>
              <w:spacing w:before="0" w:after="0"/>
              <w:jc w:val="center"/>
              <w:rPr>
                <w:rFonts w:cs="Calibri"/>
                <w:b/>
                <w:b/>
                <w:bCs/>
                <w:color w:val="000000"/>
                <w:sz w:val="16"/>
                <w:szCs w:val="16"/>
              </w:rPr>
            </w:pPr>
            <w:r>
              <w:rPr>
                <w:rFonts w:eastAsia="Times New Roman" w:cs="Calibri" w:ascii="Calibri" w:hAnsi="Calibri"/>
                <w:b/>
                <w:bCs/>
                <w:color w:val="000000"/>
                <w:kern w:val="0"/>
                <w:sz w:val="16"/>
                <w:szCs w:val="16"/>
                <w:lang w:val="it-IT" w:eastAsia="en-US" w:bidi="ar-SA"/>
              </w:rPr>
              <w:t>Casi 2021</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87</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Medico - Edema polmonare e insufficienza respiratoria</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5750</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2</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4977</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576</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Medico - Setticemia senza ventilazione meccanica meccanica &gt; o = 96 ore, età &gt; 17 anni</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2</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2913</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4</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2670</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79</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Medico - Infezioni e infiammazioni respiratorie, età &gt; 17 anni con CC</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3</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2824</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6746</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359</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Chirurgico - Interventi su utero e annessi non per neoplasie maligne senza CC</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4</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2537</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9</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1331</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127</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Medico - Insufficienza cardiaca e shock</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5</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2501</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3</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2724</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14</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Medico - Emorragia intracranica o infarto cerebrale</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6</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2289</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5</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2313</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544</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Chirurgico - Sostituzione di articolazioni maggiori o reimpianto degli arti inferiori</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7</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1922</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6</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1868</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410</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Medico - Chemioterapia non associata a diagnosi secondaria di leucemia acuta</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8</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1826</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7</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1755</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494</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Chirurgico - Colecistectomia laparoscopica senza esplorazione del dotto biliare comune senza CC</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9</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1774</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13</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926</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162</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Chirurgico - Interventi per ernia inguinale e femorale, età &gt; 17 anni senza CC</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10</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1758</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20</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432</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430</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Medico - Psicosi</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11</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1696</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11</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1248</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371</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Chirurgico - Parto cesareo senza CC</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12</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1381</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8</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1490</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89</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Medico - Polmonite semplice e pleurite, età &gt; 17 anni con CC</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13</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1377</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12</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1169</w:t>
            </w:r>
          </w:p>
        </w:tc>
      </w:tr>
      <w:tr>
        <w:trPr>
          <w:trHeight w:val="6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311</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Chirurgico - Interventi per via transuretrale senza CC</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14</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1259</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10</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1268</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316</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Medico - Insufficienza renale</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15</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1112</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17</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626</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557</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Chirurgico - Interventi sul sistema cardiovascolare per via percutanea con stent medicato con diagnosi cardiovascolare maggiore</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16</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1018</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14</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748</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381</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Chirurgico - Aborto con dilatazione e raschiamento, mediante aspirazione o isterotomia</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17</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994</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15</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718</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211</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Chirurgico - Interventi su anca e femore, eccetto articolazioni maggiori, età &gt; 17 anni senza CC</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18</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935</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18</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580</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219</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Chirurgico - Interventi su arto inferiore e omero eccetto anca, piede e femore, età &gt; 17 anni senza CC</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19</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891</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21</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386</w:t>
            </w:r>
          </w:p>
        </w:tc>
      </w:tr>
      <w:tr>
        <w:trPr>
          <w:trHeight w:val="300" w:hRule="atLeast"/>
        </w:trPr>
        <w:tc>
          <w:tcPr>
            <w:tcW w:w="509"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8"/>
                <w:szCs w:val="18"/>
                <w:lang w:val="it-IT" w:eastAsia="en-US" w:bidi="ar-SA"/>
              </w:rPr>
              <w:t>210</w:t>
            </w:r>
          </w:p>
        </w:tc>
        <w:tc>
          <w:tcPr>
            <w:tcW w:w="5859" w:type="dxa"/>
            <w:tcBorders/>
          </w:tcPr>
          <w:p>
            <w:pPr>
              <w:pStyle w:val="Normal"/>
              <w:widowControl/>
              <w:suppressAutoHyphens w:val="false"/>
              <w:spacing w:before="0" w:after="0"/>
              <w:jc w:val="left"/>
              <w:rPr>
                <w:rFonts w:cs="Calibri"/>
                <w:color w:val="000000"/>
                <w:sz w:val="16"/>
                <w:szCs w:val="16"/>
              </w:rPr>
            </w:pPr>
            <w:r>
              <w:rPr>
                <w:rFonts w:eastAsia="Times New Roman" w:cs="Calibri" w:ascii="Calibri" w:hAnsi="Calibri"/>
                <w:color w:val="000000"/>
                <w:kern w:val="0"/>
                <w:sz w:val="18"/>
                <w:szCs w:val="18"/>
                <w:lang w:val="it-IT" w:eastAsia="en-US" w:bidi="ar-SA"/>
              </w:rPr>
              <w:t>DRG Chirurgico - Interventi su anca e femore, eccetto articolazioni maggiori, età &gt; 17 anni con CC</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20</w:t>
            </w:r>
          </w:p>
        </w:tc>
        <w:tc>
          <w:tcPr>
            <w:tcW w:w="791"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886</w:t>
            </w:r>
          </w:p>
        </w:tc>
        <w:tc>
          <w:tcPr>
            <w:tcW w:w="812"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16</w:t>
            </w:r>
          </w:p>
        </w:tc>
        <w:tc>
          <w:tcPr>
            <w:tcW w:w="844" w:type="dxa"/>
            <w:tcBorders/>
          </w:tcPr>
          <w:p>
            <w:pPr>
              <w:pStyle w:val="Normal"/>
              <w:widowControl/>
              <w:suppressAutoHyphens w:val="false"/>
              <w:spacing w:before="0" w:after="0"/>
              <w:jc w:val="right"/>
              <w:rPr>
                <w:rFonts w:cs="Calibri"/>
                <w:color w:val="000000"/>
                <w:sz w:val="16"/>
                <w:szCs w:val="16"/>
              </w:rPr>
            </w:pPr>
            <w:r>
              <w:rPr>
                <w:rFonts w:eastAsia="Times New Roman" w:cs="Calibri" w:ascii="Calibri" w:hAnsi="Calibri"/>
                <w:color w:val="000000"/>
                <w:kern w:val="0"/>
                <w:sz w:val="16"/>
                <w:szCs w:val="16"/>
                <w:lang w:val="it-IT" w:eastAsia="en-US" w:bidi="ar-SA"/>
              </w:rPr>
              <w:t>713</w:t>
            </w:r>
          </w:p>
        </w:tc>
      </w:tr>
    </w:tbl>
    <w:p>
      <w:pPr>
        <w:pStyle w:val="Normal"/>
        <w:jc w:val="both"/>
        <w:rPr>
          <w:rFonts w:ascii="Calibri" w:hAnsi="Calibri" w:cs="Arial"/>
          <w:sz w:val="18"/>
          <w:szCs w:val="18"/>
        </w:rPr>
      </w:pPr>
      <w:r>
        <w:rPr>
          <w:rFonts w:cs="Arial" w:ascii="Calibri" w:hAnsi="Calibri"/>
          <w:sz w:val="18"/>
          <w:szCs w:val="18"/>
        </w:rPr>
        <w:t>Fonte: WAB Elenco dei primi ricoveri per volume - “Top DRG” (con esclusione di neonato nato sano e parto vaginale). Regime ricovero: Tutti i ricoveri, Anno: 2021 e 2022 Periodo: gennaio-dicembre, Presidio: Tutte, Reparto: Tutti</w:t>
      </w:r>
    </w:p>
    <w:p>
      <w:pPr>
        <w:pStyle w:val="Titolo2"/>
        <w:spacing w:lineRule="atLeast" w:line="320" w:before="0" w:after="120"/>
        <w:jc w:val="both"/>
        <w:rPr>
          <w:rFonts w:ascii="Calibri" w:hAnsi="Calibri" w:cs="Calibri"/>
          <w:i w:val="false"/>
          <w:i w:val="false"/>
          <w:iCs w:val="false"/>
          <w:sz w:val="22"/>
          <w:szCs w:val="22"/>
        </w:rPr>
      </w:pPr>
      <w:r>
        <w:rPr>
          <w:rFonts w:cs="Calibri" w:ascii="Calibri" w:hAnsi="Calibri"/>
          <w:i w:val="false"/>
          <w:iCs w:val="false"/>
          <w:sz w:val="22"/>
          <w:szCs w:val="22"/>
        </w:rPr>
      </w:r>
    </w:p>
    <w:p>
      <w:pPr>
        <w:pStyle w:val="Titolo2"/>
        <w:spacing w:lineRule="atLeast" w:line="320" w:before="0" w:after="120"/>
        <w:jc w:val="both"/>
        <w:rPr>
          <w:rFonts w:ascii="Calibri" w:hAnsi="Calibri" w:cs="Calibri"/>
          <w:i w:val="false"/>
          <w:i w:val="false"/>
          <w:iCs w:val="false"/>
          <w:sz w:val="22"/>
          <w:szCs w:val="22"/>
        </w:rPr>
      </w:pPr>
      <w:bookmarkStart w:id="10" w:name="_Toc152228335"/>
      <w:r>
        <w:rPr>
          <w:rFonts w:cs="Calibri" w:ascii="Calibri" w:hAnsi="Calibri"/>
          <w:i w:val="false"/>
          <w:iCs w:val="false"/>
          <w:sz w:val="22"/>
          <w:szCs w:val="22"/>
        </w:rPr>
        <w:t>2.2.4 INDICATORI CHIRURGIA ONCOLOGICA</w:t>
      </w:r>
      <w:bookmarkEnd w:id="10"/>
    </w:p>
    <w:p>
      <w:pPr>
        <w:pStyle w:val="Normal"/>
        <w:spacing w:lineRule="atLeast" w:line="320" w:before="0" w:after="120"/>
        <w:jc w:val="both"/>
        <w:rPr>
          <w:rFonts w:ascii="Calibri" w:hAnsi="Calibri" w:cs="Arial"/>
          <w:color w:val="000000"/>
          <w:sz w:val="22"/>
          <w:szCs w:val="22"/>
        </w:rPr>
      </w:pPr>
      <w:r>
        <w:rPr>
          <w:rFonts w:cs="Arial" w:ascii="Calibri" w:hAnsi="Calibri"/>
          <w:color w:val="000000"/>
          <w:sz w:val="22"/>
          <w:szCs w:val="22"/>
        </w:rPr>
        <w:t>Come in passato vengono anche quest’anno evidenziate criticità relative al rapporto volumi-esiti in particolare per alcuni tipi di chirurgia come quella per il tumore della prostata che mostra ancora nel 2022 una dispersione della casistica in rapporto al benchmarking (95,07% nel 2021 di concentrazione della casistica rispetto a 96,29 del 2022) (Tabella 9). Dai dati si osserva anche una elevata variabilità. Con l’eccezione del tumore della tiroide, si osserva una buona tempestività di risposta chirurgica.</w:t>
      </w:r>
    </w:p>
    <w:p>
      <w:pPr>
        <w:pStyle w:val="Normal"/>
        <w:suppressAutoHyphens w:val="false"/>
        <w:rPr>
          <w:rFonts w:ascii="Calibri" w:hAnsi="Calibri" w:cs="Arial"/>
          <w:color w:val="000000"/>
          <w:sz w:val="22"/>
          <w:szCs w:val="22"/>
        </w:rPr>
      </w:pPr>
      <w:r>
        <w:rPr>
          <w:rFonts w:cs="Arial" w:ascii="Calibri" w:hAnsi="Calibri"/>
          <w:color w:val="000000"/>
          <w:sz w:val="22"/>
          <w:szCs w:val="22"/>
        </w:rPr>
      </w:r>
      <w:r>
        <w:br w:type="page"/>
      </w:r>
    </w:p>
    <w:p>
      <w:pPr>
        <w:pStyle w:val="Normal"/>
        <w:spacing w:lineRule="atLeast" w:line="320" w:before="0" w:after="120"/>
        <w:jc w:val="both"/>
        <w:rPr>
          <w:rFonts w:ascii="Calibri" w:hAnsi="Calibri" w:cs="Arial"/>
          <w:color w:val="000000"/>
          <w:sz w:val="22"/>
          <w:szCs w:val="22"/>
        </w:rPr>
      </w:pPr>
      <w:r>
        <w:rPr>
          <w:rFonts w:cs="Arial" w:ascii="Calibri" w:hAnsi="Calibri"/>
          <w:color w:val="000000"/>
          <w:sz w:val="22"/>
          <w:szCs w:val="22"/>
        </w:rPr>
      </w:r>
    </w:p>
    <w:p>
      <w:pPr>
        <w:pStyle w:val="Normal"/>
        <w:spacing w:lineRule="atLeast" w:line="320" w:before="0" w:after="120"/>
        <w:rPr>
          <w:color w:val="000000"/>
        </w:rPr>
      </w:pPr>
      <w:r>
        <w:rPr>
          <w:rFonts w:cs="Calibri" w:ascii="Calibri" w:hAnsi="Calibri"/>
          <w:b/>
          <w:bCs/>
          <w:color w:val="000000"/>
          <w:sz w:val="22"/>
          <w:szCs w:val="22"/>
        </w:rPr>
        <w:t>Tabella 9. Indicatori MES sulla chirurgia oncologica dell’AUSL Toscana Centro, anno 2022</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4819"/>
        <w:gridCol w:w="966"/>
        <w:gridCol w:w="825"/>
        <w:gridCol w:w="822"/>
        <w:gridCol w:w="692"/>
        <w:gridCol w:w="553"/>
        <w:gridCol w:w="960"/>
      </w:tblGrid>
      <w:tr>
        <w:trPr>
          <w:trHeight w:val="300" w:hRule="atLeast"/>
        </w:trPr>
        <w:tc>
          <w:tcPr>
            <w:tcW w:w="48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Indicatore</w:t>
            </w:r>
          </w:p>
        </w:tc>
        <w:tc>
          <w:tcPr>
            <w:tcW w:w="96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Valore 2021</w:t>
            </w:r>
          </w:p>
        </w:tc>
        <w:tc>
          <w:tcPr>
            <w:tcW w:w="825"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Valore 2022</w:t>
            </w:r>
          </w:p>
        </w:tc>
        <w:tc>
          <w:tcPr>
            <w:tcW w:w="822"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Valutazione 2022</w:t>
            </w:r>
          </w:p>
        </w:tc>
        <w:tc>
          <w:tcPr>
            <w:tcW w:w="692"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Δ (%)</w:t>
            </w:r>
          </w:p>
        </w:tc>
        <w:tc>
          <w:tcPr>
            <w:tcW w:w="553"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Δ CV</w:t>
            </w:r>
          </w:p>
        </w:tc>
        <w:tc>
          <w:tcPr>
            <w:tcW w:w="960"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Variabilità</w:t>
            </w:r>
          </w:p>
        </w:tc>
      </w:tr>
      <w:tr>
        <w:trPr>
          <w:trHeight w:val="300" w:hRule="atLeast"/>
        </w:trPr>
        <w:tc>
          <w:tcPr>
            <w:tcW w:w="481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C10.1.2 Indice di dispersione della casistica in reparti sotto soglia per interventi chirurgici per tumore maligno alla prostata</w:t>
            </w:r>
          </w:p>
        </w:tc>
        <w:tc>
          <w:tcPr>
            <w:tcW w:w="96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95,07</w:t>
            </w:r>
          </w:p>
        </w:tc>
        <w:tc>
          <w:tcPr>
            <w:tcW w:w="82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96,29</w:t>
            </w:r>
          </w:p>
        </w:tc>
        <w:tc>
          <w:tcPr>
            <w:tcW w:w="822" w:type="dxa"/>
            <w:tcBorders>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0,07</w:t>
            </w:r>
          </w:p>
        </w:tc>
        <w:tc>
          <w:tcPr>
            <w:tcW w:w="69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-1,29</w:t>
            </w:r>
          </w:p>
        </w:tc>
        <w:tc>
          <w:tcPr>
            <w:tcW w:w="5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0,11</w:t>
            </w:r>
          </w:p>
        </w:tc>
        <w:tc>
          <w:tcPr>
            <w:tcW w:w="960"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Attenzione</w:t>
            </w:r>
          </w:p>
        </w:tc>
      </w:tr>
      <w:tr>
        <w:trPr>
          <w:trHeight w:val="300" w:hRule="atLeast"/>
        </w:trPr>
        <w:tc>
          <w:tcPr>
            <w:tcW w:w="481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C10.2.1 Percentuale di interventi conservativi o nipple/skin sparing sugli interventi per tumore maligno della mammella</w:t>
            </w:r>
          </w:p>
        </w:tc>
        <w:tc>
          <w:tcPr>
            <w:tcW w:w="96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86,92</w:t>
            </w:r>
          </w:p>
        </w:tc>
        <w:tc>
          <w:tcPr>
            <w:tcW w:w="82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85,15</w:t>
            </w:r>
          </w:p>
        </w:tc>
        <w:tc>
          <w:tcPr>
            <w:tcW w:w="822" w:type="dxa"/>
            <w:tcBorders>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4,52</w:t>
            </w:r>
          </w:p>
        </w:tc>
        <w:tc>
          <w:tcPr>
            <w:tcW w:w="69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-2,04</w:t>
            </w:r>
          </w:p>
        </w:tc>
        <w:tc>
          <w:tcPr>
            <w:tcW w:w="5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-0,76</w:t>
            </w:r>
          </w:p>
        </w:tc>
        <w:tc>
          <w:tcPr>
            <w:tcW w:w="960" w:type="dxa"/>
            <w:tcBorders>
              <w:top w:val="single" w:sz="4" w:space="0" w:color="000000"/>
              <w:left w:val="single" w:sz="4" w:space="0" w:color="000000"/>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r>
        <w:trPr>
          <w:trHeight w:val="300" w:hRule="atLeast"/>
        </w:trPr>
        <w:tc>
          <w:tcPr>
            <w:tcW w:w="481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C10.2.2 Percentuale di donne che eseguono l'asportazione del linfonodo sentinella contestualmente al ricovero per tumore alla mammella</w:t>
            </w:r>
          </w:p>
        </w:tc>
        <w:tc>
          <w:tcPr>
            <w:tcW w:w="96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77,69</w:t>
            </w:r>
          </w:p>
        </w:tc>
        <w:tc>
          <w:tcPr>
            <w:tcW w:w="82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78,55</w:t>
            </w:r>
          </w:p>
        </w:tc>
        <w:tc>
          <w:tcPr>
            <w:tcW w:w="822" w:type="dxa"/>
            <w:tcBorders>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4,23</w:t>
            </w:r>
          </w:p>
        </w:tc>
        <w:tc>
          <w:tcPr>
            <w:tcW w:w="69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1,11</w:t>
            </w:r>
          </w:p>
        </w:tc>
        <w:tc>
          <w:tcPr>
            <w:tcW w:w="5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-0,7</w:t>
            </w:r>
          </w:p>
        </w:tc>
        <w:tc>
          <w:tcPr>
            <w:tcW w:w="960" w:type="dxa"/>
            <w:tcBorders>
              <w:top w:val="single" w:sz="4" w:space="0" w:color="000000"/>
              <w:left w:val="single" w:sz="4" w:space="0" w:color="000000"/>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r>
        <w:trPr>
          <w:trHeight w:val="300" w:hRule="atLeast"/>
        </w:trPr>
        <w:tc>
          <w:tcPr>
            <w:tcW w:w="481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C10.2.6 Percentuale di donne con follow up mammografico tra 6 e 18 mesi dall'intervento per tumore alla mammella</w:t>
            </w:r>
          </w:p>
        </w:tc>
        <w:tc>
          <w:tcPr>
            <w:tcW w:w="96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67,18</w:t>
            </w:r>
          </w:p>
        </w:tc>
        <w:tc>
          <w:tcPr>
            <w:tcW w:w="82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86,57</w:t>
            </w:r>
          </w:p>
        </w:tc>
        <w:tc>
          <w:tcPr>
            <w:tcW w:w="822" w:type="dxa"/>
            <w:tcBorders>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3,73</w:t>
            </w:r>
          </w:p>
        </w:tc>
        <w:tc>
          <w:tcPr>
            <w:tcW w:w="69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28,87</w:t>
            </w:r>
          </w:p>
        </w:tc>
        <w:tc>
          <w:tcPr>
            <w:tcW w:w="5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-0,77</w:t>
            </w:r>
          </w:p>
        </w:tc>
        <w:tc>
          <w:tcPr>
            <w:tcW w:w="960" w:type="dxa"/>
            <w:tcBorders>
              <w:top w:val="single" w:sz="4" w:space="0" w:color="000000"/>
              <w:left w:val="single" w:sz="4" w:space="0" w:color="000000"/>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r>
        <w:trPr>
          <w:trHeight w:val="300" w:hRule="atLeast"/>
        </w:trPr>
        <w:tc>
          <w:tcPr>
            <w:tcW w:w="481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C10.3.1 Percentuale di pazienti con tumore al colon sottoposti a re-intervento entro 30 giorni (triennale)</w:t>
            </w:r>
          </w:p>
        </w:tc>
        <w:tc>
          <w:tcPr>
            <w:tcW w:w="96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3,71</w:t>
            </w:r>
          </w:p>
        </w:tc>
        <w:tc>
          <w:tcPr>
            <w:tcW w:w="82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3,53</w:t>
            </w:r>
          </w:p>
        </w:tc>
        <w:tc>
          <w:tcPr>
            <w:tcW w:w="822" w:type="dxa"/>
            <w:tcBorders>
              <w:bottom w:val="single" w:sz="4" w:space="0" w:color="000000"/>
              <w:right w:val="single" w:sz="4" w:space="0" w:color="000000"/>
            </w:tcBorders>
            <w:shd w:color="auto" w:fill="FFFF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2,94</w:t>
            </w:r>
          </w:p>
        </w:tc>
        <w:tc>
          <w:tcPr>
            <w:tcW w:w="69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4,39</w:t>
            </w:r>
          </w:p>
        </w:tc>
        <w:tc>
          <w:tcPr>
            <w:tcW w:w="5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0,89</w:t>
            </w:r>
          </w:p>
        </w:tc>
        <w:tc>
          <w:tcPr>
            <w:tcW w:w="960"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Buona Strada</w:t>
            </w:r>
          </w:p>
        </w:tc>
      </w:tr>
      <w:tr>
        <w:trPr>
          <w:trHeight w:val="300" w:hRule="atLeast"/>
        </w:trPr>
        <w:tc>
          <w:tcPr>
            <w:tcW w:w="481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C10.3.2 Percentuale di pazienti con tumore al retto sottoposti a re-intervento entro 30 giorni (triennale)</w:t>
            </w:r>
          </w:p>
        </w:tc>
        <w:tc>
          <w:tcPr>
            <w:tcW w:w="96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5,41</w:t>
            </w:r>
          </w:p>
        </w:tc>
        <w:tc>
          <w:tcPr>
            <w:tcW w:w="82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4,3</w:t>
            </w:r>
          </w:p>
        </w:tc>
        <w:tc>
          <w:tcPr>
            <w:tcW w:w="822" w:type="dxa"/>
            <w:tcBorders>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1,72</w:t>
            </w:r>
          </w:p>
        </w:tc>
        <w:tc>
          <w:tcPr>
            <w:tcW w:w="69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20,5</w:t>
            </w:r>
          </w:p>
        </w:tc>
        <w:tc>
          <w:tcPr>
            <w:tcW w:w="5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0,14</w:t>
            </w:r>
          </w:p>
        </w:tc>
        <w:tc>
          <w:tcPr>
            <w:tcW w:w="960"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Buona Strada</w:t>
            </w:r>
          </w:p>
        </w:tc>
      </w:tr>
      <w:tr>
        <w:trPr>
          <w:trHeight w:val="300" w:hRule="atLeast"/>
        </w:trPr>
        <w:tc>
          <w:tcPr>
            <w:tcW w:w="4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C10.4.10 Proporzione di prestazioni erogate nel rispetto dei tempi massimi di attesa per Classe di priorità A per interventi chirurgici per tumore al retto</w:t>
            </w:r>
          </w:p>
        </w:tc>
        <w:tc>
          <w:tcPr>
            <w:tcW w:w="96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96,27</w:t>
            </w:r>
          </w:p>
        </w:tc>
        <w:tc>
          <w:tcPr>
            <w:tcW w:w="82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95,08</w:t>
            </w:r>
          </w:p>
        </w:tc>
        <w:tc>
          <w:tcPr>
            <w:tcW w:w="822" w:type="dxa"/>
            <w:vMerge w:val="restart"/>
            <w:tcBorders>
              <w:left w:val="single" w:sz="4" w:space="0" w:color="000000"/>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w:t>
            </w:r>
          </w:p>
        </w:tc>
        <w:tc>
          <w:tcPr>
            <w:tcW w:w="69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-1,23</w:t>
            </w:r>
          </w:p>
        </w:tc>
        <w:tc>
          <w:tcPr>
            <w:tcW w:w="55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0,92</w:t>
            </w:r>
          </w:p>
        </w:tc>
        <w:tc>
          <w:tcPr>
            <w:tcW w:w="960" w:type="dxa"/>
            <w:vMerge w:val="restart"/>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Attenzione</w:t>
            </w:r>
          </w:p>
        </w:tc>
      </w:tr>
      <w:tr>
        <w:trPr>
          <w:trHeight w:val="300" w:hRule="atLeast"/>
        </w:trPr>
        <w:tc>
          <w:tcPr>
            <w:tcW w:w="4819"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96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825"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822" w:type="dxa"/>
            <w:vMerge w:val="continue"/>
            <w:tcBorders>
              <w:left w:val="single" w:sz="4" w:space="0" w:color="000000"/>
              <w:bottom w:val="single" w:sz="4" w:space="0" w:color="000000"/>
              <w:right w:val="single" w:sz="4" w:space="0" w:color="000000"/>
            </w:tcBorders>
            <w:shd w:color="auto" w:fill="00B050"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692"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553"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960" w:type="dxa"/>
            <w:vMerge w:val="continue"/>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r>
      <w:tr>
        <w:trPr>
          <w:trHeight w:val="300" w:hRule="atLeast"/>
        </w:trPr>
        <w:tc>
          <w:tcPr>
            <w:tcW w:w="4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C10.4.12 Proporzione di prestazioni erogate nel rispetto dei tempi massimi di attesa per Classe di priorità A per interventi chirurgici per tumore all'utero</w:t>
            </w:r>
          </w:p>
        </w:tc>
        <w:tc>
          <w:tcPr>
            <w:tcW w:w="96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87,08</w:t>
            </w:r>
          </w:p>
        </w:tc>
        <w:tc>
          <w:tcPr>
            <w:tcW w:w="82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90,53</w:t>
            </w:r>
          </w:p>
        </w:tc>
        <w:tc>
          <w:tcPr>
            <w:tcW w:w="822" w:type="dxa"/>
            <w:vMerge w:val="restart"/>
            <w:tcBorders>
              <w:left w:val="single" w:sz="4" w:space="0" w:color="000000"/>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4,11</w:t>
            </w:r>
          </w:p>
        </w:tc>
        <w:tc>
          <w:tcPr>
            <w:tcW w:w="69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3,96</w:t>
            </w:r>
          </w:p>
        </w:tc>
        <w:tc>
          <w:tcPr>
            <w:tcW w:w="55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-0,13</w:t>
            </w:r>
          </w:p>
        </w:tc>
        <w:tc>
          <w:tcPr>
            <w:tcW w:w="960" w:type="dxa"/>
            <w:vMerge w:val="restart"/>
            <w:tcBorders>
              <w:top w:val="single" w:sz="4" w:space="0" w:color="000000"/>
              <w:left w:val="single" w:sz="4" w:space="0" w:color="000000"/>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r>
        <w:trPr>
          <w:trHeight w:val="300" w:hRule="atLeast"/>
        </w:trPr>
        <w:tc>
          <w:tcPr>
            <w:tcW w:w="4819"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96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825"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822" w:type="dxa"/>
            <w:vMerge w:val="continue"/>
            <w:tcBorders>
              <w:left w:val="single" w:sz="4" w:space="0" w:color="000000"/>
              <w:bottom w:val="single" w:sz="4" w:space="0" w:color="000000"/>
              <w:right w:val="single" w:sz="4" w:space="0" w:color="000000"/>
            </w:tcBorders>
            <w:shd w:color="auto" w:fill="00B050"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692"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553"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960" w:type="dxa"/>
            <w:vMerge w:val="continue"/>
            <w:tcBorders>
              <w:top w:val="single" w:sz="4" w:space="0" w:color="000000"/>
              <w:left w:val="single" w:sz="4" w:space="0" w:color="000000"/>
              <w:bottom w:val="single" w:sz="4" w:space="0" w:color="000000"/>
              <w:right w:val="single" w:sz="4" w:space="0" w:color="000000"/>
            </w:tcBorders>
            <w:shd w:color="auto" w:fill="00B050"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r>
      <w:tr>
        <w:trPr>
          <w:trHeight w:val="600" w:hRule="atLeast"/>
        </w:trPr>
        <w:tc>
          <w:tcPr>
            <w:tcW w:w="481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C10.4.13 Proporzione di prestazioni erogate nel rispetto dei tempi massimi di attesa per Classe di priorità A per interventi chirurgici per melanoma</w:t>
            </w:r>
          </w:p>
        </w:tc>
        <w:tc>
          <w:tcPr>
            <w:tcW w:w="96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94,15</w:t>
            </w:r>
          </w:p>
        </w:tc>
        <w:tc>
          <w:tcPr>
            <w:tcW w:w="82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93,27</w:t>
            </w:r>
          </w:p>
        </w:tc>
        <w:tc>
          <w:tcPr>
            <w:tcW w:w="822" w:type="dxa"/>
            <w:tcBorders>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4,33</w:t>
            </w:r>
          </w:p>
        </w:tc>
        <w:tc>
          <w:tcPr>
            <w:tcW w:w="69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-0,93</w:t>
            </w:r>
          </w:p>
        </w:tc>
        <w:tc>
          <w:tcPr>
            <w:tcW w:w="5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-0,11</w:t>
            </w:r>
          </w:p>
        </w:tc>
        <w:tc>
          <w:tcPr>
            <w:tcW w:w="960" w:type="dxa"/>
            <w:tcBorders>
              <w:top w:val="single" w:sz="4" w:space="0" w:color="000000"/>
              <w:left w:val="single" w:sz="4" w:space="0" w:color="000000"/>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r>
        <w:trPr>
          <w:trHeight w:val="300" w:hRule="atLeast"/>
        </w:trPr>
        <w:tc>
          <w:tcPr>
            <w:tcW w:w="4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C10.4.14 Proporzione di prestazioni erogate nel rispetto dei tempi massimi di attesa per Classe di priorità A per interventi chirurgici per tumore maligno alla tiroide</w:t>
            </w:r>
          </w:p>
        </w:tc>
        <w:tc>
          <w:tcPr>
            <w:tcW w:w="96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61,45</w:t>
            </w:r>
          </w:p>
        </w:tc>
        <w:tc>
          <w:tcPr>
            <w:tcW w:w="82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76,36</w:t>
            </w:r>
          </w:p>
        </w:tc>
        <w:tc>
          <w:tcPr>
            <w:tcW w:w="822" w:type="dxa"/>
            <w:vMerge w:val="restart"/>
            <w:tcBorders>
              <w:left w:val="single" w:sz="4" w:space="0" w:color="000000"/>
              <w:bottom w:val="single" w:sz="4" w:space="0" w:color="000000"/>
              <w:right w:val="single" w:sz="4" w:space="0" w:color="000000"/>
            </w:tcBorders>
            <w:shd w:color="auto" w:fill="FFFF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2,64</w:t>
            </w:r>
          </w:p>
        </w:tc>
        <w:tc>
          <w:tcPr>
            <w:tcW w:w="69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24,28</w:t>
            </w:r>
          </w:p>
        </w:tc>
        <w:tc>
          <w:tcPr>
            <w:tcW w:w="55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0,46</w:t>
            </w:r>
          </w:p>
        </w:tc>
        <w:tc>
          <w:tcPr>
            <w:tcW w:w="960" w:type="dxa"/>
            <w:vMerge w:val="restart"/>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Buona Strada</w:t>
            </w:r>
          </w:p>
        </w:tc>
      </w:tr>
      <w:tr>
        <w:trPr>
          <w:trHeight w:val="300" w:hRule="atLeast"/>
        </w:trPr>
        <w:tc>
          <w:tcPr>
            <w:tcW w:w="4819"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96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825"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822" w:type="dxa"/>
            <w:vMerge w:val="continue"/>
            <w:tcBorders>
              <w:left w:val="single" w:sz="4" w:space="0" w:color="000000"/>
              <w:bottom w:val="single" w:sz="4" w:space="0" w:color="000000"/>
              <w:right w:val="single" w:sz="4" w:space="0" w:color="000000"/>
            </w:tcBorders>
            <w:shd w:color="auto" w:fill="FFFF00"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692"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553"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c>
          <w:tcPr>
            <w:tcW w:w="960" w:type="dxa"/>
            <w:vMerge w:val="continue"/>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r>
      <w:tr>
        <w:trPr>
          <w:trHeight w:val="600" w:hRule="atLeast"/>
        </w:trPr>
        <w:tc>
          <w:tcPr>
            <w:tcW w:w="481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C10.4.7 Proporzione di prestazioni erogate nel rispetto dei tempi massimi di attesa per Classe di priorità A per interventi chirurgici per tumore alla mammella</w:t>
            </w:r>
          </w:p>
        </w:tc>
        <w:tc>
          <w:tcPr>
            <w:tcW w:w="96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90,02</w:t>
            </w:r>
          </w:p>
        </w:tc>
        <w:tc>
          <w:tcPr>
            <w:tcW w:w="82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83,32</w:t>
            </w:r>
          </w:p>
        </w:tc>
        <w:tc>
          <w:tcPr>
            <w:tcW w:w="822" w:type="dxa"/>
            <w:tcBorders>
              <w:bottom w:val="single" w:sz="4" w:space="0" w:color="000000"/>
              <w:right w:val="single" w:sz="4" w:space="0" w:color="000000"/>
            </w:tcBorders>
            <w:shd w:color="auto" w:fill="FFFF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2,66</w:t>
            </w:r>
          </w:p>
        </w:tc>
        <w:tc>
          <w:tcPr>
            <w:tcW w:w="69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-7,45</w:t>
            </w:r>
          </w:p>
        </w:tc>
        <w:tc>
          <w:tcPr>
            <w:tcW w:w="5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-0,33</w:t>
            </w:r>
          </w:p>
        </w:tc>
        <w:tc>
          <w:tcPr>
            <w:tcW w:w="960" w:type="dxa"/>
            <w:tcBorders>
              <w:top w:val="single" w:sz="4" w:space="0" w:color="000000"/>
              <w:left w:val="single" w:sz="4" w:space="0" w:color="000000"/>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r>
        <w:trPr>
          <w:trHeight w:val="600" w:hRule="atLeast"/>
        </w:trPr>
        <w:tc>
          <w:tcPr>
            <w:tcW w:w="481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C10.4.8 Proporzione di prestazioni erogate nel rispetto dei tempi massimi di attesa per Classe di priorità A per interventi chirurgici per tumore alla prostata</w:t>
            </w:r>
          </w:p>
        </w:tc>
        <w:tc>
          <w:tcPr>
            <w:tcW w:w="96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86,21</w:t>
            </w:r>
          </w:p>
        </w:tc>
        <w:tc>
          <w:tcPr>
            <w:tcW w:w="82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72,73</w:t>
            </w:r>
          </w:p>
        </w:tc>
        <w:tc>
          <w:tcPr>
            <w:tcW w:w="822" w:type="dxa"/>
            <w:tcBorders>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3,27</w:t>
            </w:r>
          </w:p>
        </w:tc>
        <w:tc>
          <w:tcPr>
            <w:tcW w:w="69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-15,64</w:t>
            </w:r>
          </w:p>
        </w:tc>
        <w:tc>
          <w:tcPr>
            <w:tcW w:w="5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0,72</w:t>
            </w:r>
          </w:p>
        </w:tc>
        <w:tc>
          <w:tcPr>
            <w:tcW w:w="960"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Attenzione</w:t>
            </w:r>
          </w:p>
        </w:tc>
      </w:tr>
      <w:tr>
        <w:trPr>
          <w:trHeight w:val="600" w:hRule="atLeast"/>
        </w:trPr>
        <w:tc>
          <w:tcPr>
            <w:tcW w:w="481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C10.4.9 Proporzione di prestazioni erogate nel rispetto dei tempi massimi di attesa per Classe di priorità A per interventi chirurgici per tumore al colon</w:t>
            </w:r>
          </w:p>
        </w:tc>
        <w:tc>
          <w:tcPr>
            <w:tcW w:w="96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97,59</w:t>
            </w:r>
          </w:p>
        </w:tc>
        <w:tc>
          <w:tcPr>
            <w:tcW w:w="82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96,41</w:t>
            </w:r>
          </w:p>
        </w:tc>
        <w:tc>
          <w:tcPr>
            <w:tcW w:w="822" w:type="dxa"/>
            <w:tcBorders>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4,64</w:t>
            </w:r>
          </w:p>
        </w:tc>
        <w:tc>
          <w:tcPr>
            <w:tcW w:w="69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-1,21</w:t>
            </w:r>
          </w:p>
        </w:tc>
        <w:tc>
          <w:tcPr>
            <w:tcW w:w="5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0,98</w:t>
            </w:r>
          </w:p>
        </w:tc>
        <w:tc>
          <w:tcPr>
            <w:tcW w:w="960"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Attenzione</w:t>
            </w:r>
          </w:p>
        </w:tc>
      </w:tr>
      <w:tr>
        <w:trPr>
          <w:trHeight w:val="300" w:hRule="atLeast"/>
        </w:trPr>
        <w:tc>
          <w:tcPr>
            <w:tcW w:w="4819"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H02Z Quota di interventi per tumore maligno della mammella eseguiti in reparti con volume di attività superiore a 150 (10% tolleranza) interventi annui</w:t>
            </w:r>
          </w:p>
        </w:tc>
        <w:tc>
          <w:tcPr>
            <w:tcW w:w="96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75,48</w:t>
            </w:r>
          </w:p>
        </w:tc>
        <w:tc>
          <w:tcPr>
            <w:tcW w:w="82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97,25</w:t>
            </w:r>
          </w:p>
        </w:tc>
        <w:tc>
          <w:tcPr>
            <w:tcW w:w="822" w:type="dxa"/>
            <w:tcBorders>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4,73</w:t>
            </w:r>
          </w:p>
        </w:tc>
        <w:tc>
          <w:tcPr>
            <w:tcW w:w="69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23,4</w:t>
            </w:r>
          </w:p>
        </w:tc>
        <w:tc>
          <w:tcPr>
            <w:tcW w:w="5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-0,32</w:t>
            </w:r>
          </w:p>
        </w:tc>
        <w:tc>
          <w:tcPr>
            <w:tcW w:w="960" w:type="dxa"/>
            <w:tcBorders>
              <w:top w:val="single" w:sz="4" w:space="0" w:color="000000"/>
              <w:left w:val="single" w:sz="4" w:space="0" w:color="000000"/>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bl>
    <w:p>
      <w:pPr>
        <w:pStyle w:val="Normal"/>
        <w:spacing w:lineRule="atLeast" w:line="320" w:before="0" w:after="120"/>
        <w:jc w:val="both"/>
        <w:rPr/>
      </w:pPr>
      <w:r>
        <w:rPr/>
      </w:r>
    </w:p>
    <w:p>
      <w:pPr>
        <w:pStyle w:val="Normal"/>
        <w:spacing w:lineRule="atLeast" w:line="320" w:before="0" w:after="120"/>
        <w:jc w:val="both"/>
        <w:rPr>
          <w:rFonts w:ascii="Calibri" w:hAnsi="Calibri" w:cs="Calibri"/>
          <w:sz w:val="22"/>
          <w:szCs w:val="22"/>
        </w:rPr>
      </w:pPr>
      <w:r>
        <w:rPr>
          <w:rFonts w:cs="Calibri" w:ascii="Calibri" w:hAnsi="Calibri"/>
          <w:sz w:val="22"/>
          <w:szCs w:val="22"/>
        </w:rPr>
        <w:t>Rispetto ai tempi di attesa si evidenziano elementi di peggioramento sulla tempestività dell’intervento per tumore alla mammella per la quale l’Azienda ha attuato un processo di riesame dell’attività e in prima ipotesi appare che tale fenomeno sia spiegabile dalla mancata tracciabilità dei completamenti diagnostici e delle sospensioni (Tabella 9).</w:t>
      </w:r>
    </w:p>
    <w:p>
      <w:pPr>
        <w:pStyle w:val="Normal"/>
        <w:spacing w:lineRule="atLeast" w:line="320" w:before="0" w:after="120"/>
        <w:jc w:val="both"/>
        <w:rPr>
          <w:rFonts w:ascii="Calibri" w:hAnsi="Calibri" w:cs="Calibri"/>
          <w:sz w:val="22"/>
          <w:szCs w:val="22"/>
        </w:rPr>
      </w:pPr>
      <w:r>
        <w:rPr>
          <w:rFonts w:cs="Calibri" w:ascii="Calibri" w:hAnsi="Calibri"/>
          <w:sz w:val="22"/>
          <w:szCs w:val="22"/>
        </w:rPr>
        <w:t>Si segnala inoltre un tasso di re-intervento per tumore del colon e del retto rispettivamente di 3,53 e 4,3. Su questa tipologia di intervento sono in atto processi di revisione ed analisi delle casistiche.</w:t>
      </w:r>
    </w:p>
    <w:p>
      <w:pPr>
        <w:pStyle w:val="Normal"/>
        <w:spacing w:lineRule="atLeast" w:line="320" w:before="0" w:after="120"/>
        <w:jc w:val="both"/>
        <w:rPr>
          <w:rFonts w:ascii="Calibri" w:hAnsi="Calibri" w:cs="Calibri"/>
          <w:sz w:val="22"/>
          <w:szCs w:val="22"/>
        </w:rPr>
      </w:pPr>
      <w:r>
        <w:rPr>
          <w:rFonts w:cs="Calibri" w:ascii="Calibri" w:hAnsi="Calibri"/>
          <w:sz w:val="22"/>
          <w:szCs w:val="22"/>
        </w:rPr>
        <w:t xml:space="preserve"> </w:t>
      </w:r>
    </w:p>
    <w:p>
      <w:pPr>
        <w:pStyle w:val="Titolo2"/>
        <w:spacing w:lineRule="atLeast" w:line="320" w:before="0" w:after="120"/>
        <w:jc w:val="both"/>
        <w:rPr>
          <w:rFonts w:ascii="Calibri" w:hAnsi="Calibri" w:cs="Calibri"/>
          <w:i w:val="false"/>
          <w:i w:val="false"/>
          <w:iCs w:val="false"/>
          <w:sz w:val="22"/>
          <w:szCs w:val="22"/>
        </w:rPr>
      </w:pPr>
      <w:bookmarkStart w:id="11" w:name="_Toc152228336"/>
      <w:r>
        <w:rPr>
          <w:rFonts w:cs="Calibri" w:ascii="Calibri" w:hAnsi="Calibri"/>
          <w:i w:val="false"/>
          <w:iCs w:val="false"/>
          <w:sz w:val="22"/>
          <w:szCs w:val="22"/>
        </w:rPr>
        <w:t>2.2.5 INDICATORI CHIRURGIA GENERALE</w:t>
      </w:r>
      <w:bookmarkEnd w:id="11"/>
    </w:p>
    <w:p>
      <w:pPr>
        <w:pStyle w:val="Normal"/>
        <w:spacing w:lineRule="atLeast" w:line="320" w:before="0" w:after="120"/>
        <w:jc w:val="both"/>
        <w:rPr>
          <w:rFonts w:ascii="Calibri" w:hAnsi="Calibri" w:cs="Calibri"/>
          <w:sz w:val="22"/>
          <w:szCs w:val="22"/>
        </w:rPr>
      </w:pPr>
      <w:r>
        <w:rPr>
          <w:rFonts w:cs="Calibri" w:ascii="Calibri" w:hAnsi="Calibri"/>
          <w:sz w:val="22"/>
          <w:szCs w:val="22"/>
        </w:rPr>
        <w:t>Gli indicatori relativi alla chirurgia generale (Tabella 10) mostrano il perdurare di una buona tenuta del sistema anche nel 2022 consolidando le attuali prassi aziendali.</w:t>
      </w:r>
    </w:p>
    <w:p>
      <w:pPr>
        <w:pStyle w:val="Normal"/>
        <w:spacing w:lineRule="atLeast" w:line="320" w:before="0" w:after="120"/>
        <w:rPr>
          <w:color w:val="000000"/>
        </w:rPr>
      </w:pPr>
      <w:r>
        <w:rPr>
          <w:rFonts w:cs="Calibri" w:ascii="Calibri" w:hAnsi="Calibri"/>
          <w:b/>
          <w:bCs/>
          <w:color w:val="000000"/>
          <w:sz w:val="22"/>
          <w:szCs w:val="22"/>
        </w:rPr>
        <w:t>Tabella 10. Indicatori MES sulla chirurgia generale dell’AUSL Toscana Centro, anno 2022</w:t>
      </w:r>
    </w:p>
    <w:tbl>
      <w:tblPr>
        <w:tblW w:w="9628"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5410"/>
        <w:gridCol w:w="598"/>
        <w:gridCol w:w="690"/>
        <w:gridCol w:w="629"/>
        <w:gridCol w:w="601"/>
        <w:gridCol w:w="580"/>
        <w:gridCol w:w="1119"/>
      </w:tblGrid>
      <w:tr>
        <w:trPr>
          <w:trHeight w:val="300" w:hRule="atLeast"/>
        </w:trPr>
        <w:tc>
          <w:tcPr>
            <w:tcW w:w="5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Indicatore</w:t>
            </w:r>
          </w:p>
        </w:tc>
        <w:tc>
          <w:tcPr>
            <w:tcW w:w="598"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Valore 2021</w:t>
            </w:r>
          </w:p>
        </w:tc>
        <w:tc>
          <w:tcPr>
            <w:tcW w:w="690"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Valore 2022</w:t>
            </w:r>
          </w:p>
        </w:tc>
        <w:tc>
          <w:tcPr>
            <w:tcW w:w="629"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Valutazione 2022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Δ (%)</w:t>
            </w:r>
          </w:p>
        </w:tc>
        <w:tc>
          <w:tcPr>
            <w:tcW w:w="580"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Δ CV</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Variabilità</w:t>
            </w:r>
          </w:p>
        </w:tc>
      </w:tr>
      <w:tr>
        <w:trPr>
          <w:trHeight w:val="300" w:hRule="atLeast"/>
        </w:trPr>
        <w:tc>
          <w:tcPr>
            <w:tcW w:w="5410"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C4.4 Percentuale di colecistectomie laparoscopiche in day-surgery e ricovero ordinario 0-1 giorno</w:t>
            </w:r>
          </w:p>
        </w:tc>
        <w:tc>
          <w:tcPr>
            <w:tcW w:w="59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78,81</w:t>
            </w:r>
          </w:p>
        </w:tc>
        <w:tc>
          <w:tcPr>
            <w:tcW w:w="690"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87,67</w:t>
            </w:r>
          </w:p>
        </w:tc>
        <w:tc>
          <w:tcPr>
            <w:tcW w:w="629" w:type="dxa"/>
            <w:tcBorders>
              <w:bottom w:val="single" w:sz="4" w:space="0" w:color="000000"/>
              <w:right w:val="single" w:sz="4" w:space="0" w:color="000000"/>
            </w:tcBorders>
            <w:shd w:color="auto" w:fill="00B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4,63</w:t>
            </w:r>
          </w:p>
        </w:tc>
        <w:tc>
          <w:tcPr>
            <w:tcW w:w="60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12,19</w:t>
            </w:r>
          </w:p>
        </w:tc>
        <w:tc>
          <w:tcPr>
            <w:tcW w:w="580"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-0,74</w:t>
            </w:r>
          </w:p>
        </w:tc>
        <w:tc>
          <w:tcPr>
            <w:tcW w:w="1119" w:type="dxa"/>
            <w:tcBorders>
              <w:top w:val="single" w:sz="4" w:space="0" w:color="000000"/>
              <w:left w:val="single" w:sz="4" w:space="0" w:color="000000"/>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r>
        <w:trPr>
          <w:trHeight w:val="300" w:hRule="atLeast"/>
        </w:trPr>
        <w:tc>
          <w:tcPr>
            <w:tcW w:w="5410"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C5.10 Percentuale di resezioni programmate al colon in laparoscopia</w:t>
            </w:r>
          </w:p>
        </w:tc>
        <w:tc>
          <w:tcPr>
            <w:tcW w:w="59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68,32</w:t>
            </w:r>
          </w:p>
        </w:tc>
        <w:tc>
          <w:tcPr>
            <w:tcW w:w="690"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68,14</w:t>
            </w:r>
          </w:p>
        </w:tc>
        <w:tc>
          <w:tcPr>
            <w:tcW w:w="629" w:type="dxa"/>
            <w:tcBorders>
              <w:bottom w:val="single" w:sz="4" w:space="0" w:color="000000"/>
              <w:right w:val="single" w:sz="4" w:space="0" w:color="000000"/>
            </w:tcBorders>
            <w:shd w:color="auto" w:fill="00B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4,61</w:t>
            </w:r>
          </w:p>
        </w:tc>
        <w:tc>
          <w:tcPr>
            <w:tcW w:w="60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1,19</w:t>
            </w:r>
          </w:p>
        </w:tc>
        <w:tc>
          <w:tcPr>
            <w:tcW w:w="580"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0,27</w:t>
            </w:r>
          </w:p>
        </w:tc>
        <w:tc>
          <w:tcPr>
            <w:tcW w:w="1119" w:type="dxa"/>
            <w:tcBorders>
              <w:top w:val="single" w:sz="4" w:space="0" w:color="000000"/>
              <w:left w:val="single" w:sz="4" w:space="0" w:color="000000"/>
              <w:bottom w:val="single" w:sz="4" w:space="0" w:color="000000"/>
              <w:right w:val="single" w:sz="4" w:space="0" w:color="000000"/>
            </w:tcBorders>
            <w:shd w:color="auto" w:fill="92D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Buona Strada</w:t>
            </w:r>
          </w:p>
        </w:tc>
      </w:tr>
      <w:tr>
        <w:trPr>
          <w:trHeight w:val="300" w:hRule="atLeast"/>
        </w:trPr>
        <w:tc>
          <w:tcPr>
            <w:tcW w:w="5410"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C5.3 Percentuale di prostatectomie transuretrali</w:t>
            </w:r>
          </w:p>
        </w:tc>
        <w:tc>
          <w:tcPr>
            <w:tcW w:w="59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93,23</w:t>
            </w:r>
          </w:p>
        </w:tc>
        <w:tc>
          <w:tcPr>
            <w:tcW w:w="690"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90,72</w:t>
            </w:r>
          </w:p>
        </w:tc>
        <w:tc>
          <w:tcPr>
            <w:tcW w:w="629" w:type="dxa"/>
            <w:tcBorders>
              <w:bottom w:val="single" w:sz="4" w:space="0" w:color="000000"/>
              <w:right w:val="single" w:sz="4" w:space="0" w:color="000000"/>
            </w:tcBorders>
            <w:shd w:color="auto" w:fill="92D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3,57</w:t>
            </w:r>
          </w:p>
        </w:tc>
        <w:tc>
          <w:tcPr>
            <w:tcW w:w="60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0,07</w:t>
            </w:r>
          </w:p>
        </w:tc>
        <w:tc>
          <w:tcPr>
            <w:tcW w:w="580"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-0,3</w:t>
            </w:r>
          </w:p>
        </w:tc>
        <w:tc>
          <w:tcPr>
            <w:tcW w:w="1119" w:type="dxa"/>
            <w:tcBorders>
              <w:top w:val="single" w:sz="4" w:space="0" w:color="000000"/>
              <w:left w:val="single" w:sz="4" w:space="0" w:color="000000"/>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bl>
    <w:p>
      <w:pPr>
        <w:pStyle w:val="Titolo2"/>
        <w:spacing w:lineRule="atLeast" w:line="320" w:before="0" w:after="120"/>
        <w:jc w:val="both"/>
        <w:rPr>
          <w:rFonts w:ascii="Calibri" w:hAnsi="Calibri" w:cs="Calibri"/>
          <w:i w:val="false"/>
          <w:i w:val="false"/>
          <w:iCs w:val="false"/>
          <w:sz w:val="22"/>
          <w:szCs w:val="22"/>
        </w:rPr>
      </w:pPr>
      <w:bookmarkStart w:id="12" w:name="_Toc152228337"/>
      <w:r>
        <w:rPr>
          <w:rFonts w:cs="Calibri" w:ascii="Calibri" w:hAnsi="Calibri"/>
          <w:i w:val="false"/>
          <w:iCs w:val="false"/>
          <w:sz w:val="22"/>
          <w:szCs w:val="22"/>
        </w:rPr>
        <w:t>2.2.6 CHIRURGIA ORTOPEDICA</w:t>
      </w:r>
      <w:bookmarkEnd w:id="12"/>
    </w:p>
    <w:p>
      <w:pPr>
        <w:pStyle w:val="Normal"/>
        <w:spacing w:lineRule="atLeast" w:line="320" w:before="0" w:after="120"/>
        <w:jc w:val="both"/>
        <w:rPr>
          <w:rFonts w:ascii="Calibri" w:hAnsi="Calibri" w:cs="Calibri"/>
          <w:sz w:val="22"/>
          <w:szCs w:val="22"/>
        </w:rPr>
      </w:pPr>
      <w:r>
        <w:rPr>
          <w:rFonts w:cs="Calibri" w:ascii="Calibri" w:hAnsi="Calibri"/>
          <w:sz w:val="22"/>
          <w:szCs w:val="22"/>
        </w:rPr>
        <w:t>Gli indicatori relativi alla ortopedia (Tabella 11) confermano la crisi sistemica, che interessa l’intero territorio nazionale, sul reclutamento di personale appartenente a tale disciplina.</w:t>
      </w:r>
    </w:p>
    <w:p>
      <w:pPr>
        <w:pStyle w:val="Normal"/>
        <w:spacing w:lineRule="atLeast" w:line="320" w:before="0" w:after="120"/>
        <w:rPr>
          <w:color w:val="000000"/>
        </w:rPr>
      </w:pPr>
      <w:r>
        <w:rPr>
          <w:rFonts w:cs="Calibri" w:ascii="Calibri" w:hAnsi="Calibri"/>
          <w:b/>
          <w:bCs/>
          <w:color w:val="000000"/>
          <w:sz w:val="22"/>
          <w:szCs w:val="22"/>
        </w:rPr>
        <w:t>Tabella 11. Indicatori MES sulla chirurgia ortopedica dell’AUSL Toscana Centro, anno 2022</w:t>
      </w:r>
    </w:p>
    <w:tbl>
      <w:tblPr>
        <w:tblW w:w="943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4511"/>
        <w:gridCol w:w="937"/>
        <w:gridCol w:w="935"/>
        <w:gridCol w:w="1290"/>
        <w:gridCol w:w="487"/>
        <w:gridCol w:w="446"/>
        <w:gridCol w:w="827"/>
      </w:tblGrid>
      <w:tr>
        <w:trPr>
          <w:trHeight w:val="300" w:hRule="atLeast"/>
        </w:trPr>
        <w:tc>
          <w:tcPr>
            <w:tcW w:w="45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Indicatore</w:t>
            </w:r>
          </w:p>
        </w:tc>
        <w:tc>
          <w:tcPr>
            <w:tcW w:w="93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Valore 2020</w:t>
            </w:r>
          </w:p>
        </w:tc>
        <w:tc>
          <w:tcPr>
            <w:tcW w:w="935"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Valore 2022</w:t>
            </w:r>
          </w:p>
        </w:tc>
        <w:tc>
          <w:tcPr>
            <w:tcW w:w="1290" w:type="dxa"/>
            <w:tcBorders>
              <w:top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Valutazione 2022</w:t>
            </w:r>
          </w:p>
        </w:tc>
        <w:tc>
          <w:tcPr>
            <w:tcW w:w="4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Δ (%)</w:t>
            </w:r>
          </w:p>
        </w:tc>
        <w:tc>
          <w:tcPr>
            <w:tcW w:w="44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Δ CV</w:t>
            </w:r>
          </w:p>
        </w:tc>
        <w:tc>
          <w:tcPr>
            <w:tcW w:w="82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Variabilità</w:t>
            </w:r>
          </w:p>
        </w:tc>
      </w:tr>
      <w:tr>
        <w:trPr>
          <w:trHeight w:val="300" w:hRule="atLeast"/>
        </w:trPr>
        <w:tc>
          <w:tcPr>
            <w:tcW w:w="4511"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C5.2 Percentuale di fratture collo del femore operate entro 2 giorni</w:t>
            </w:r>
          </w:p>
        </w:tc>
        <w:tc>
          <w:tcPr>
            <w:tcW w:w="93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55,91</w:t>
            </w:r>
          </w:p>
        </w:tc>
        <w:tc>
          <w:tcPr>
            <w:tcW w:w="93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53,98</w:t>
            </w:r>
          </w:p>
        </w:tc>
        <w:tc>
          <w:tcPr>
            <w:tcW w:w="1290" w:type="dxa"/>
            <w:tcBorders>
              <w:bottom w:val="single" w:sz="4" w:space="0" w:color="000000"/>
              <w:right w:val="single" w:sz="4" w:space="0" w:color="000000"/>
            </w:tcBorders>
            <w:shd w:color="auto" w:fill="C0000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w:t>
            </w:r>
          </w:p>
        </w:tc>
        <w:tc>
          <w:tcPr>
            <w:tcW w:w="48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-3,6</w:t>
            </w:r>
          </w:p>
        </w:tc>
        <w:tc>
          <w:tcPr>
            <w:tcW w:w="446"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-0,3</w:t>
            </w:r>
          </w:p>
        </w:tc>
        <w:tc>
          <w:tcPr>
            <w:tcW w:w="827" w:type="dxa"/>
            <w:tcBorders>
              <w:top w:val="single" w:sz="4" w:space="0" w:color="000000"/>
              <w:left w:val="single" w:sz="4" w:space="0" w:color="000000"/>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bl>
    <w:p>
      <w:pPr>
        <w:pStyle w:val="Normal"/>
        <w:spacing w:lineRule="atLeast" w:line="320" w:before="0" w:after="120"/>
        <w:jc w:val="both"/>
        <w:rPr>
          <w:rFonts w:ascii="Calibri" w:hAnsi="Calibri" w:cs="Calibri"/>
          <w:sz w:val="22"/>
          <w:szCs w:val="22"/>
        </w:rPr>
      </w:pPr>
      <w:r>
        <w:rPr>
          <w:rFonts w:cs="Calibri" w:ascii="Calibri" w:hAnsi="Calibri"/>
          <w:sz w:val="22"/>
          <w:szCs w:val="22"/>
        </w:rPr>
        <w:t>Sono state messe in atto azioni di mobilità di professionisti tra presidi e sono state adottate tutte le misure di mitigazione di tale fenomeno attraverso l’utilizzo dei diversi strumenti contrattuali.</w:t>
      </w:r>
    </w:p>
    <w:p>
      <w:pPr>
        <w:pStyle w:val="Titolo2"/>
        <w:spacing w:lineRule="atLeast" w:line="320" w:before="0" w:after="120"/>
        <w:jc w:val="both"/>
        <w:rPr>
          <w:rFonts w:ascii="Calibri" w:hAnsi="Calibri" w:cs="Calibri"/>
          <w:i w:val="false"/>
          <w:i w:val="false"/>
          <w:iCs w:val="false"/>
          <w:sz w:val="22"/>
          <w:szCs w:val="22"/>
        </w:rPr>
      </w:pPr>
      <w:bookmarkStart w:id="13" w:name="_Toc152228338"/>
      <w:r>
        <w:rPr>
          <w:rFonts w:cs="Calibri" w:ascii="Calibri" w:hAnsi="Calibri"/>
          <w:i w:val="false"/>
          <w:iCs w:val="false"/>
          <w:sz w:val="22"/>
          <w:szCs w:val="22"/>
        </w:rPr>
        <w:t>2.2.7 DONAZIONI</w:t>
      </w:r>
      <w:bookmarkEnd w:id="13"/>
    </w:p>
    <w:p>
      <w:pPr>
        <w:pStyle w:val="Normal"/>
        <w:spacing w:lineRule="atLeast" w:line="320" w:before="0" w:after="120"/>
        <w:jc w:val="both"/>
        <w:rPr>
          <w:rFonts w:ascii="Calibri" w:hAnsi="Calibri" w:cs="Calibri"/>
          <w:sz w:val="22"/>
          <w:szCs w:val="22"/>
        </w:rPr>
      </w:pPr>
      <w:r>
        <w:rPr>
          <w:rFonts w:cs="Calibri" w:ascii="Calibri" w:hAnsi="Calibri"/>
          <w:sz w:val="22"/>
          <w:szCs w:val="22"/>
        </w:rPr>
        <w:t>Sebbene nel 2022 vi sia stata una ripesa delle donazioni (Tabella 12), i dati sulla percentuale di donatori di tessuti effettivi presenta ancora margini di miglioramento. È in corso un processo di riorganizzazione di tale attività.</w:t>
      </w:r>
    </w:p>
    <w:p>
      <w:pPr>
        <w:pStyle w:val="Normal"/>
        <w:spacing w:lineRule="atLeast" w:line="320" w:before="0" w:after="120"/>
        <w:rPr>
          <w:color w:val="000000"/>
        </w:rPr>
      </w:pPr>
      <w:r>
        <w:rPr>
          <w:rFonts w:cs="Calibri" w:ascii="Calibri" w:hAnsi="Calibri"/>
          <w:b/>
          <w:bCs/>
          <w:color w:val="000000"/>
          <w:sz w:val="22"/>
          <w:szCs w:val="22"/>
        </w:rPr>
        <w:t>Tabella 12. Indicatori MES sulle donazioni di organo dell’AUSL Toscana Centro, anno 2022</w:t>
      </w:r>
    </w:p>
    <w:tbl>
      <w:tblPr>
        <w:tblW w:w="8578" w:type="dxa"/>
        <w:jc w:val="left"/>
        <w:tblInd w:w="-5" w:type="dxa"/>
        <w:tblLayout w:type="fixed"/>
        <w:tblCellMar>
          <w:top w:w="0" w:type="dxa"/>
          <w:left w:w="70" w:type="dxa"/>
          <w:bottom w:w="0" w:type="dxa"/>
          <w:right w:w="70" w:type="dxa"/>
        </w:tblCellMar>
        <w:tblLook w:firstRow="1" w:noVBand="1" w:lastRow="0" w:firstColumn="1" w:lastColumn="0" w:noHBand="0" w:val="04a0"/>
      </w:tblPr>
      <w:tblGrid>
        <w:gridCol w:w="3227"/>
        <w:gridCol w:w="937"/>
        <w:gridCol w:w="939"/>
        <w:gridCol w:w="1290"/>
        <w:gridCol w:w="604"/>
        <w:gridCol w:w="458"/>
        <w:gridCol w:w="1122"/>
      </w:tblGrid>
      <w:tr>
        <w:trPr>
          <w:trHeight w:val="300" w:hRule="atLeast"/>
        </w:trPr>
        <w:tc>
          <w:tcPr>
            <w:tcW w:w="3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Indicatore</w:t>
            </w:r>
          </w:p>
        </w:tc>
        <w:tc>
          <w:tcPr>
            <w:tcW w:w="93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Valore 2021</w:t>
            </w:r>
          </w:p>
        </w:tc>
        <w:tc>
          <w:tcPr>
            <w:tcW w:w="939"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Valore 2022</w:t>
            </w:r>
          </w:p>
        </w:tc>
        <w:tc>
          <w:tcPr>
            <w:tcW w:w="1290" w:type="dxa"/>
            <w:tcBorders>
              <w:top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Valutazione 2022</w:t>
            </w:r>
          </w:p>
        </w:tc>
        <w:tc>
          <w:tcPr>
            <w:tcW w:w="604"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Δ (%)</w:t>
            </w:r>
          </w:p>
        </w:tc>
        <w:tc>
          <w:tcPr>
            <w:tcW w:w="458"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Δ CV</w:t>
            </w:r>
          </w:p>
        </w:tc>
        <w:tc>
          <w:tcPr>
            <w:tcW w:w="1122"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Variabilità</w:t>
            </w:r>
          </w:p>
        </w:tc>
      </w:tr>
      <w:tr>
        <w:trPr>
          <w:trHeight w:val="300" w:hRule="atLeast"/>
        </w:trPr>
        <w:tc>
          <w:tcPr>
            <w:tcW w:w="3227"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B6.1.1A Efficienza di segnalazione</w:t>
            </w:r>
          </w:p>
        </w:tc>
        <w:tc>
          <w:tcPr>
            <w:tcW w:w="93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40,88</w:t>
            </w:r>
          </w:p>
        </w:tc>
        <w:tc>
          <w:tcPr>
            <w:tcW w:w="939"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30,49</w:t>
            </w:r>
          </w:p>
        </w:tc>
        <w:tc>
          <w:tcPr>
            <w:tcW w:w="1290" w:type="dxa"/>
            <w:tcBorders>
              <w:bottom w:val="single" w:sz="4" w:space="0" w:color="000000"/>
              <w:right w:val="single" w:sz="4" w:space="0" w:color="000000"/>
            </w:tcBorders>
            <w:shd w:color="auto" w:fill="FFC00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1,75</w:t>
            </w:r>
          </w:p>
        </w:tc>
        <w:tc>
          <w:tcPr>
            <w:tcW w:w="604"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-25,42</w:t>
            </w:r>
          </w:p>
        </w:tc>
        <w:tc>
          <w:tcPr>
            <w:tcW w:w="45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0,89</w:t>
            </w:r>
          </w:p>
        </w:tc>
        <w:tc>
          <w:tcPr>
            <w:tcW w:w="1122" w:type="dxa"/>
            <w:tcBorders>
              <w:bottom w:val="single" w:sz="4" w:space="0" w:color="000000"/>
              <w:right w:val="single" w:sz="4" w:space="0" w:color="000000"/>
            </w:tcBorders>
            <w:shd w:color="auto" w:fill="FFC00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Attenzione</w:t>
            </w:r>
          </w:p>
        </w:tc>
      </w:tr>
      <w:tr>
        <w:trPr>
          <w:trHeight w:val="300" w:hRule="atLeast"/>
        </w:trPr>
        <w:tc>
          <w:tcPr>
            <w:tcW w:w="3227"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B6.1.2 Percentuale di donatori procurati</w:t>
            </w:r>
          </w:p>
        </w:tc>
        <w:tc>
          <w:tcPr>
            <w:tcW w:w="93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66,22</w:t>
            </w:r>
          </w:p>
        </w:tc>
        <w:tc>
          <w:tcPr>
            <w:tcW w:w="939"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70,59</w:t>
            </w:r>
          </w:p>
        </w:tc>
        <w:tc>
          <w:tcPr>
            <w:tcW w:w="1290" w:type="dxa"/>
            <w:tcBorders>
              <w:bottom w:val="single" w:sz="4" w:space="0" w:color="000000"/>
              <w:right w:val="single" w:sz="4" w:space="0" w:color="000000"/>
            </w:tcBorders>
            <w:shd w:color="auto" w:fill="00B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4,26</w:t>
            </w:r>
          </w:p>
        </w:tc>
        <w:tc>
          <w:tcPr>
            <w:tcW w:w="604"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6,6</w:t>
            </w:r>
          </w:p>
        </w:tc>
        <w:tc>
          <w:tcPr>
            <w:tcW w:w="45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0,23</w:t>
            </w:r>
          </w:p>
        </w:tc>
        <w:tc>
          <w:tcPr>
            <w:tcW w:w="1122" w:type="dxa"/>
            <w:tcBorders>
              <w:bottom w:val="single" w:sz="4" w:space="0" w:color="000000"/>
              <w:right w:val="single" w:sz="4" w:space="0" w:color="000000"/>
            </w:tcBorders>
            <w:shd w:color="auto" w:fill="92D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Buona Strada</w:t>
            </w:r>
          </w:p>
        </w:tc>
      </w:tr>
      <w:tr>
        <w:trPr>
          <w:trHeight w:val="300" w:hRule="atLeast"/>
        </w:trPr>
        <w:tc>
          <w:tcPr>
            <w:tcW w:w="3227"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B6.1.5A Percentuale donatori di tessuti effettivi</w:t>
            </w:r>
          </w:p>
        </w:tc>
        <w:tc>
          <w:tcPr>
            <w:tcW w:w="93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10,66</w:t>
            </w:r>
          </w:p>
        </w:tc>
        <w:tc>
          <w:tcPr>
            <w:tcW w:w="939"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8,73</w:t>
            </w:r>
          </w:p>
        </w:tc>
        <w:tc>
          <w:tcPr>
            <w:tcW w:w="1290" w:type="dxa"/>
            <w:tcBorders>
              <w:bottom w:val="single" w:sz="4" w:space="0" w:color="000000"/>
              <w:right w:val="single" w:sz="4" w:space="0" w:color="000000"/>
            </w:tcBorders>
            <w:shd w:color="auto" w:fill="C0000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0,87</w:t>
            </w:r>
          </w:p>
        </w:tc>
        <w:tc>
          <w:tcPr>
            <w:tcW w:w="604"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-18,08</w:t>
            </w:r>
          </w:p>
        </w:tc>
        <w:tc>
          <w:tcPr>
            <w:tcW w:w="45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1,28</w:t>
            </w:r>
          </w:p>
        </w:tc>
        <w:tc>
          <w:tcPr>
            <w:tcW w:w="1122" w:type="dxa"/>
            <w:tcBorders>
              <w:bottom w:val="single" w:sz="4" w:space="0" w:color="000000"/>
              <w:right w:val="single" w:sz="4" w:space="0" w:color="000000"/>
            </w:tcBorders>
            <w:shd w:color="auto" w:fill="FFC00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Attenzione</w:t>
            </w:r>
          </w:p>
        </w:tc>
      </w:tr>
    </w:tbl>
    <w:p>
      <w:pPr>
        <w:pStyle w:val="Titolo2"/>
        <w:spacing w:lineRule="atLeast" w:line="320" w:before="0" w:after="120"/>
        <w:jc w:val="both"/>
        <w:rPr>
          <w:rFonts w:ascii="Calibri" w:hAnsi="Calibri" w:cs="Calibri"/>
          <w:i w:val="false"/>
          <w:i w:val="false"/>
          <w:iCs w:val="false"/>
          <w:sz w:val="22"/>
          <w:szCs w:val="22"/>
        </w:rPr>
      </w:pPr>
      <w:bookmarkStart w:id="14" w:name="_Toc152228339"/>
      <w:r>
        <w:rPr>
          <w:rFonts w:cs="Calibri" w:ascii="Calibri" w:hAnsi="Calibri"/>
          <w:i w:val="false"/>
          <w:iCs w:val="false"/>
          <w:sz w:val="22"/>
          <w:szCs w:val="22"/>
        </w:rPr>
        <w:t>2.2.8 MATERNO-INFANTILE</w:t>
      </w:r>
      <w:bookmarkEnd w:id="14"/>
    </w:p>
    <w:p>
      <w:pPr>
        <w:pStyle w:val="Normal"/>
        <w:spacing w:lineRule="atLeast" w:line="320" w:before="0" w:after="120"/>
        <w:jc w:val="both"/>
        <w:rPr>
          <w:rFonts w:ascii="Calibri" w:hAnsi="Calibri" w:cs="Arial"/>
          <w:color w:val="000000"/>
          <w:sz w:val="22"/>
          <w:szCs w:val="22"/>
        </w:rPr>
      </w:pPr>
      <w:r>
        <w:rPr>
          <w:rFonts w:cs="Arial" w:ascii="Calibri" w:hAnsi="Calibri"/>
          <w:color w:val="000000"/>
          <w:sz w:val="22"/>
          <w:szCs w:val="22"/>
        </w:rPr>
        <w:t xml:space="preserve">Si mantengono buoni i risultati relativi agli indicatori sulla percentuale di parti cesarei, episiotomie e sulle IVG. Il dato sui parti operativi con tendenza all’aumento va letto congiuntamente alla buona performance sui parti cesarei che sono in costante diminuzione. Resta ancora critico il dato sulla accessibilità ai servizi da parte delle donne straniere (Tabella 13). </w:t>
      </w:r>
    </w:p>
    <w:p>
      <w:pPr>
        <w:pStyle w:val="Normal"/>
        <w:suppressAutoHyphens w:val="false"/>
        <w:rPr>
          <w:rFonts w:ascii="Calibri" w:hAnsi="Calibri" w:cs="Arial"/>
          <w:color w:val="000000"/>
          <w:sz w:val="22"/>
          <w:szCs w:val="22"/>
        </w:rPr>
      </w:pPr>
      <w:r>
        <w:rPr>
          <w:rFonts w:cs="Arial" w:ascii="Calibri" w:hAnsi="Calibri"/>
          <w:color w:val="000000"/>
          <w:sz w:val="22"/>
          <w:szCs w:val="22"/>
        </w:rPr>
      </w:r>
      <w:r>
        <w:br w:type="page"/>
      </w:r>
    </w:p>
    <w:p>
      <w:pPr>
        <w:pStyle w:val="Normal"/>
        <w:spacing w:lineRule="atLeast" w:line="320" w:before="0" w:after="120"/>
        <w:jc w:val="both"/>
        <w:rPr>
          <w:rFonts w:ascii="Calibri" w:hAnsi="Calibri" w:cs="Arial"/>
          <w:color w:val="000000"/>
          <w:sz w:val="22"/>
          <w:szCs w:val="22"/>
        </w:rPr>
      </w:pPr>
      <w:r>
        <w:rPr>
          <w:rFonts w:cs="Arial" w:ascii="Calibri" w:hAnsi="Calibri"/>
          <w:color w:val="000000"/>
          <w:sz w:val="22"/>
          <w:szCs w:val="22"/>
        </w:rPr>
      </w:r>
    </w:p>
    <w:p>
      <w:pPr>
        <w:pStyle w:val="Normal"/>
        <w:spacing w:lineRule="atLeast" w:line="320" w:before="0" w:after="120"/>
        <w:rPr>
          <w:color w:val="000000"/>
        </w:rPr>
      </w:pPr>
      <w:r>
        <w:rPr>
          <w:rFonts w:cs="Calibri" w:ascii="Calibri" w:hAnsi="Calibri"/>
          <w:b/>
          <w:bCs/>
          <w:color w:val="000000"/>
          <w:sz w:val="22"/>
          <w:szCs w:val="22"/>
        </w:rPr>
        <w:t>Tabella 13. Indicatori MES sull’aera materno infantile dell’AUSL Toscana Centro, anno 2022</w:t>
      </w:r>
    </w:p>
    <w:tbl>
      <w:tblPr>
        <w:tblW w:w="9628"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4958"/>
        <w:gridCol w:w="644"/>
        <w:gridCol w:w="636"/>
        <w:gridCol w:w="1168"/>
        <w:gridCol w:w="669"/>
        <w:gridCol w:w="568"/>
        <w:gridCol w:w="984"/>
      </w:tblGrid>
      <w:tr>
        <w:trPr>
          <w:trHeight w:val="227"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Indicatore</w:t>
            </w:r>
          </w:p>
        </w:tc>
        <w:tc>
          <w:tcPr>
            <w:tcW w:w="644"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Valore 2021</w:t>
            </w:r>
          </w:p>
        </w:tc>
        <w:tc>
          <w:tcPr>
            <w:tcW w:w="63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Valore 2022</w:t>
            </w:r>
          </w:p>
        </w:tc>
        <w:tc>
          <w:tcPr>
            <w:tcW w:w="1168"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Valutazione 2022</w:t>
            </w:r>
          </w:p>
        </w:tc>
        <w:tc>
          <w:tcPr>
            <w:tcW w:w="669"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Δ (%)</w:t>
            </w:r>
          </w:p>
        </w:tc>
        <w:tc>
          <w:tcPr>
            <w:tcW w:w="568"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Δ CV</w:t>
            </w:r>
          </w:p>
        </w:tc>
        <w:tc>
          <w:tcPr>
            <w:tcW w:w="984"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Variabilità</w:t>
            </w:r>
          </w:p>
        </w:tc>
      </w:tr>
      <w:tr>
        <w:trPr>
          <w:trHeight w:val="227" w:hRule="atLeast"/>
        </w:trPr>
        <w:tc>
          <w:tcPr>
            <w:tcW w:w="4958"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C7.1 Percentuale di parti cesarei depurati (NTSV)</w:t>
            </w:r>
          </w:p>
        </w:tc>
        <w:tc>
          <w:tcPr>
            <w:tcW w:w="644"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16,1</w:t>
            </w:r>
          </w:p>
        </w:tc>
        <w:tc>
          <w:tcPr>
            <w:tcW w:w="63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15,64</w:t>
            </w:r>
          </w:p>
        </w:tc>
        <w:tc>
          <w:tcPr>
            <w:tcW w:w="1168" w:type="dxa"/>
            <w:tcBorders>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3,84</w:t>
            </w:r>
          </w:p>
        </w:tc>
        <w:tc>
          <w:tcPr>
            <w:tcW w:w="66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2,9</w:t>
            </w:r>
          </w:p>
        </w:tc>
        <w:tc>
          <w:tcPr>
            <w:tcW w:w="56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0,04</w:t>
            </w:r>
          </w:p>
        </w:tc>
        <w:tc>
          <w:tcPr>
            <w:tcW w:w="984"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 xml:space="preserve">Buona </w:t>
            </w:r>
          </w:p>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Strada</w:t>
            </w:r>
          </w:p>
        </w:tc>
      </w:tr>
      <w:tr>
        <w:trPr>
          <w:trHeight w:val="227" w:hRule="atLeast"/>
        </w:trPr>
        <w:tc>
          <w:tcPr>
            <w:tcW w:w="4958"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C7.10 Tasso di IVG 1.000 residenti</w:t>
            </w:r>
          </w:p>
        </w:tc>
        <w:tc>
          <w:tcPr>
            <w:tcW w:w="644"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5,33</w:t>
            </w:r>
          </w:p>
        </w:tc>
        <w:tc>
          <w:tcPr>
            <w:tcW w:w="63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5,1</w:t>
            </w:r>
          </w:p>
        </w:tc>
        <w:tc>
          <w:tcPr>
            <w:tcW w:w="1168" w:type="dxa"/>
            <w:tcBorders>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w:t>
            </w:r>
          </w:p>
        </w:tc>
        <w:tc>
          <w:tcPr>
            <w:tcW w:w="66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4,36</w:t>
            </w:r>
          </w:p>
        </w:tc>
        <w:tc>
          <w:tcPr>
            <w:tcW w:w="56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-0,2</w:t>
            </w:r>
          </w:p>
        </w:tc>
        <w:tc>
          <w:tcPr>
            <w:tcW w:w="984" w:type="dxa"/>
            <w:tcBorders>
              <w:top w:val="single" w:sz="4" w:space="0" w:color="000000"/>
              <w:left w:val="single" w:sz="4" w:space="0" w:color="000000"/>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r>
        <w:trPr>
          <w:trHeight w:val="227" w:hRule="atLeast"/>
        </w:trPr>
        <w:tc>
          <w:tcPr>
            <w:tcW w:w="4958"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C7.13 % donne straniere che effettuano la prima visita tardiva</w:t>
            </w:r>
          </w:p>
        </w:tc>
        <w:tc>
          <w:tcPr>
            <w:tcW w:w="644"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16,03</w:t>
            </w:r>
          </w:p>
        </w:tc>
        <w:tc>
          <w:tcPr>
            <w:tcW w:w="63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18,39</w:t>
            </w:r>
          </w:p>
        </w:tc>
        <w:tc>
          <w:tcPr>
            <w:tcW w:w="1168" w:type="dxa"/>
            <w:tcBorders>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0,77</w:t>
            </w:r>
          </w:p>
        </w:tc>
        <w:tc>
          <w:tcPr>
            <w:tcW w:w="66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-14,74</w:t>
            </w:r>
          </w:p>
        </w:tc>
        <w:tc>
          <w:tcPr>
            <w:tcW w:w="56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-0,21</w:t>
            </w:r>
          </w:p>
        </w:tc>
        <w:tc>
          <w:tcPr>
            <w:tcW w:w="984" w:type="dxa"/>
            <w:tcBorders>
              <w:top w:val="single" w:sz="4" w:space="0" w:color="000000"/>
              <w:left w:val="single" w:sz="4" w:space="0" w:color="000000"/>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r>
        <w:trPr>
          <w:trHeight w:val="227" w:hRule="atLeast"/>
        </w:trPr>
        <w:tc>
          <w:tcPr>
            <w:tcW w:w="4958"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C7.14 % donne straniere che effettuano un numero di visite in gravidanza &lt;4</w:t>
            </w:r>
          </w:p>
        </w:tc>
        <w:tc>
          <w:tcPr>
            <w:tcW w:w="644"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23,55</w:t>
            </w:r>
          </w:p>
        </w:tc>
        <w:tc>
          <w:tcPr>
            <w:tcW w:w="63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18,84</w:t>
            </w:r>
          </w:p>
        </w:tc>
        <w:tc>
          <w:tcPr>
            <w:tcW w:w="1168" w:type="dxa"/>
            <w:tcBorders>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0,81</w:t>
            </w:r>
          </w:p>
        </w:tc>
        <w:tc>
          <w:tcPr>
            <w:tcW w:w="66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20,02</w:t>
            </w:r>
          </w:p>
        </w:tc>
        <w:tc>
          <w:tcPr>
            <w:tcW w:w="56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0,51</w:t>
            </w:r>
          </w:p>
        </w:tc>
        <w:tc>
          <w:tcPr>
            <w:tcW w:w="984"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Buona Strada</w:t>
            </w:r>
          </w:p>
        </w:tc>
      </w:tr>
      <w:tr>
        <w:trPr>
          <w:trHeight w:val="227" w:hRule="atLeast"/>
        </w:trPr>
        <w:tc>
          <w:tcPr>
            <w:tcW w:w="4958"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C7.3 Percentuale di episiotomie depurate (NTSV)</w:t>
            </w:r>
          </w:p>
        </w:tc>
        <w:tc>
          <w:tcPr>
            <w:tcW w:w="644"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15,49</w:t>
            </w:r>
          </w:p>
        </w:tc>
        <w:tc>
          <w:tcPr>
            <w:tcW w:w="63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13,27</w:t>
            </w:r>
          </w:p>
        </w:tc>
        <w:tc>
          <w:tcPr>
            <w:tcW w:w="1168" w:type="dxa"/>
            <w:tcBorders>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3,84</w:t>
            </w:r>
          </w:p>
        </w:tc>
        <w:tc>
          <w:tcPr>
            <w:tcW w:w="66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14,35</w:t>
            </w:r>
          </w:p>
        </w:tc>
        <w:tc>
          <w:tcPr>
            <w:tcW w:w="56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0,43</w:t>
            </w:r>
          </w:p>
        </w:tc>
        <w:tc>
          <w:tcPr>
            <w:tcW w:w="984"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Buona Strada</w:t>
            </w:r>
          </w:p>
        </w:tc>
      </w:tr>
      <w:tr>
        <w:trPr>
          <w:trHeight w:val="227" w:hRule="atLeast"/>
        </w:trPr>
        <w:tc>
          <w:tcPr>
            <w:tcW w:w="4958"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C7.6 Percentuale di parti operativi (uso di forcipe o ventosa)</w:t>
            </w:r>
          </w:p>
        </w:tc>
        <w:tc>
          <w:tcPr>
            <w:tcW w:w="644"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9,39</w:t>
            </w:r>
          </w:p>
        </w:tc>
        <w:tc>
          <w:tcPr>
            <w:tcW w:w="63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9,78</w:t>
            </w:r>
          </w:p>
        </w:tc>
        <w:tc>
          <w:tcPr>
            <w:tcW w:w="1168" w:type="dxa"/>
            <w:tcBorders>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1,09</w:t>
            </w:r>
          </w:p>
        </w:tc>
        <w:tc>
          <w:tcPr>
            <w:tcW w:w="66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-4,13</w:t>
            </w:r>
          </w:p>
        </w:tc>
        <w:tc>
          <w:tcPr>
            <w:tcW w:w="56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w:t>
            </w:r>
          </w:p>
        </w:tc>
        <w:tc>
          <w:tcPr>
            <w:tcW w:w="984" w:type="dxa"/>
            <w:tcBorders>
              <w:top w:val="single" w:sz="4" w:space="0" w:color="000000"/>
              <w:left w:val="single" w:sz="4" w:space="0" w:color="000000"/>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bl>
    <w:p>
      <w:pPr>
        <w:pStyle w:val="Normal"/>
        <w:spacing w:lineRule="atLeast" w:line="320" w:before="0" w:after="120"/>
        <w:ind w:right="-2" w:hanging="0"/>
        <w:jc w:val="both"/>
        <w:rPr/>
      </w:pPr>
      <w:r>
        <w:rPr/>
      </w:r>
    </w:p>
    <w:p>
      <w:pPr>
        <w:pStyle w:val="Titolo2"/>
        <w:spacing w:lineRule="atLeast" w:line="320" w:before="0" w:after="120"/>
        <w:jc w:val="both"/>
        <w:rPr>
          <w:rFonts w:ascii="Calibri" w:hAnsi="Calibri" w:cs="Calibri" w:asciiTheme="minorHAnsi" w:cstheme="minorHAnsi" w:hAnsiTheme="minorHAnsi"/>
          <w:i w:val="false"/>
          <w:i w:val="false"/>
          <w:iCs w:val="false"/>
          <w:kern w:val="2"/>
        </w:rPr>
      </w:pPr>
      <w:bookmarkStart w:id="15" w:name="_Toc152228340"/>
      <w:r>
        <w:rPr>
          <w:rFonts w:cs="Calibri" w:ascii="Calibri" w:hAnsi="Calibri" w:asciiTheme="minorHAnsi" w:cstheme="minorHAnsi" w:hAnsiTheme="minorHAnsi"/>
          <w:i w:val="false"/>
          <w:iCs w:val="false"/>
          <w:kern w:val="2"/>
        </w:rPr>
        <w:t>2.3 PREVENZIONE</w:t>
      </w:r>
      <w:bookmarkEnd w:id="15"/>
    </w:p>
    <w:p>
      <w:pPr>
        <w:pStyle w:val="Titolo2"/>
        <w:spacing w:lineRule="atLeast" w:line="320" w:before="0" w:after="120"/>
        <w:jc w:val="both"/>
        <w:rPr>
          <w:rFonts w:ascii="Calibri" w:hAnsi="Calibri" w:cs="Calibri"/>
          <w:i w:val="false"/>
          <w:i w:val="false"/>
          <w:iCs w:val="false"/>
          <w:sz w:val="22"/>
          <w:szCs w:val="22"/>
        </w:rPr>
      </w:pPr>
      <w:bookmarkStart w:id="16" w:name="_Toc152228341"/>
      <w:bookmarkStart w:id="17" w:name="_Toc40088917"/>
      <w:r>
        <w:rPr>
          <w:rFonts w:cs="Calibri" w:ascii="Calibri" w:hAnsi="Calibri"/>
          <w:i w:val="false"/>
          <w:iCs w:val="false"/>
          <w:sz w:val="22"/>
          <w:szCs w:val="22"/>
        </w:rPr>
        <w:t>2.3.1 VACCINAZIONI</w:t>
      </w:r>
      <w:bookmarkEnd w:id="16"/>
      <w:bookmarkEnd w:id="17"/>
    </w:p>
    <w:p>
      <w:pPr>
        <w:pStyle w:val="Normal"/>
        <w:spacing w:lineRule="atLeast" w:line="320" w:before="0" w:after="120"/>
        <w:jc w:val="both"/>
        <w:rPr>
          <w:rFonts w:ascii="Calibri" w:hAnsi="Calibri" w:cs="Arial"/>
          <w:sz w:val="22"/>
          <w:szCs w:val="22"/>
        </w:rPr>
      </w:pPr>
      <w:r>
        <w:rPr>
          <w:rFonts w:cs="Arial" w:ascii="Calibri" w:hAnsi="Calibri"/>
          <w:sz w:val="22"/>
          <w:szCs w:val="22"/>
        </w:rPr>
        <w:t>I dati sulle vaccinazioni mostrano una buona tenuta per le vaccinazioni obbligatorie dell’infanzia; in inversione di tendenza il dato sulla copertura antinfluenzale per gli ultra 65enni, non ancora ottimale. Ancora non a soglia, ma molto vicini, i dati sull’antimeningococcico e anti pneumococcico (Tabella 14).</w:t>
      </w:r>
    </w:p>
    <w:p>
      <w:pPr>
        <w:pStyle w:val="Normal"/>
        <w:spacing w:lineRule="atLeast" w:line="320" w:before="0" w:after="120"/>
        <w:rPr>
          <w:color w:val="000000"/>
        </w:rPr>
      </w:pPr>
      <w:r>
        <w:rPr>
          <w:rFonts w:cs="Calibri" w:ascii="Calibri" w:hAnsi="Calibri"/>
          <w:b/>
          <w:bCs/>
          <w:color w:val="000000"/>
          <w:sz w:val="22"/>
          <w:szCs w:val="22"/>
        </w:rPr>
        <w:t>Tabella 14. Indicatori MES sulle vaccinazioni dell’AUSL Toscana Centro, anno 2022</w:t>
      </w:r>
    </w:p>
    <w:tbl>
      <w:tblPr>
        <w:tblW w:w="9214" w:type="dxa"/>
        <w:jc w:val="left"/>
        <w:tblInd w:w="-5" w:type="dxa"/>
        <w:tblLayout w:type="fixed"/>
        <w:tblCellMar>
          <w:top w:w="0" w:type="dxa"/>
          <w:left w:w="70" w:type="dxa"/>
          <w:bottom w:w="0" w:type="dxa"/>
          <w:right w:w="70" w:type="dxa"/>
        </w:tblCellMar>
        <w:tblLook w:firstRow="1" w:noVBand="1" w:lastRow="0" w:firstColumn="1" w:lastColumn="0" w:noHBand="0" w:val="04a0"/>
      </w:tblPr>
      <w:tblGrid>
        <w:gridCol w:w="3677"/>
        <w:gridCol w:w="937"/>
        <w:gridCol w:w="935"/>
        <w:gridCol w:w="1290"/>
        <w:gridCol w:w="675"/>
        <w:gridCol w:w="565"/>
        <w:gridCol w:w="1134"/>
      </w:tblGrid>
      <w:tr>
        <w:trPr>
          <w:trHeight w:val="300" w:hRule="atLeast"/>
        </w:trPr>
        <w:tc>
          <w:tcPr>
            <w:tcW w:w="3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Indicatore</w:t>
            </w:r>
          </w:p>
        </w:tc>
        <w:tc>
          <w:tcPr>
            <w:tcW w:w="93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Valore 2021</w:t>
            </w:r>
          </w:p>
        </w:tc>
        <w:tc>
          <w:tcPr>
            <w:tcW w:w="935"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Valore 2022</w:t>
            </w:r>
          </w:p>
        </w:tc>
        <w:tc>
          <w:tcPr>
            <w:tcW w:w="1290"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Valutazione 2022</w:t>
            </w:r>
          </w:p>
        </w:tc>
        <w:tc>
          <w:tcPr>
            <w:tcW w:w="675"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Δ (%)</w:t>
            </w:r>
          </w:p>
        </w:tc>
        <w:tc>
          <w:tcPr>
            <w:tcW w:w="565"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Δ CV</w:t>
            </w:r>
          </w:p>
        </w:tc>
        <w:tc>
          <w:tcPr>
            <w:tcW w:w="1134"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Variabilità</w:t>
            </w:r>
          </w:p>
        </w:tc>
      </w:tr>
      <w:tr>
        <w:trPr>
          <w:trHeight w:val="300" w:hRule="atLeast"/>
        </w:trPr>
        <w:tc>
          <w:tcPr>
            <w:tcW w:w="3677"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B7.1 Copertura per vaccino MPR</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95,39</w:t>
            </w:r>
          </w:p>
        </w:tc>
        <w:tc>
          <w:tcPr>
            <w:tcW w:w="93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95,54</w:t>
            </w:r>
          </w:p>
        </w:tc>
        <w:tc>
          <w:tcPr>
            <w:tcW w:w="1290" w:type="dxa"/>
            <w:tcBorders>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3,18</w:t>
            </w:r>
          </w:p>
        </w:tc>
        <w:tc>
          <w:tcPr>
            <w:tcW w:w="67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0,16</w:t>
            </w:r>
          </w:p>
        </w:tc>
        <w:tc>
          <w:tcPr>
            <w:tcW w:w="56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-0,07</w:t>
            </w:r>
          </w:p>
        </w:tc>
        <w:tc>
          <w:tcPr>
            <w:tcW w:w="1134" w:type="dxa"/>
            <w:tcBorders>
              <w:top w:val="single" w:sz="4" w:space="0" w:color="000000"/>
              <w:left w:val="single" w:sz="4" w:space="0" w:color="000000"/>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r>
        <w:trPr>
          <w:trHeight w:val="300" w:hRule="atLeast"/>
        </w:trPr>
        <w:tc>
          <w:tcPr>
            <w:tcW w:w="3677"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B7.2 Copertura per vaccino antinfluenzale (&gt;= 65 anni)</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62,01</w:t>
            </w:r>
          </w:p>
        </w:tc>
        <w:tc>
          <w:tcPr>
            <w:tcW w:w="93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63,38</w:t>
            </w:r>
          </w:p>
        </w:tc>
        <w:tc>
          <w:tcPr>
            <w:tcW w:w="1290" w:type="dxa"/>
            <w:tcBorders>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1,94</w:t>
            </w:r>
          </w:p>
        </w:tc>
        <w:tc>
          <w:tcPr>
            <w:tcW w:w="67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2,21</w:t>
            </w:r>
          </w:p>
        </w:tc>
        <w:tc>
          <w:tcPr>
            <w:tcW w:w="56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-0,14</w:t>
            </w:r>
          </w:p>
        </w:tc>
        <w:tc>
          <w:tcPr>
            <w:tcW w:w="1134" w:type="dxa"/>
            <w:tcBorders>
              <w:top w:val="single" w:sz="4" w:space="0" w:color="000000"/>
              <w:left w:val="single" w:sz="4" w:space="0" w:color="000000"/>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r>
        <w:trPr>
          <w:trHeight w:val="300" w:hRule="atLeast"/>
        </w:trPr>
        <w:tc>
          <w:tcPr>
            <w:tcW w:w="3677"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B7.5 Copertura per vaccino antimeningococcico</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91,91</w:t>
            </w:r>
          </w:p>
        </w:tc>
        <w:tc>
          <w:tcPr>
            <w:tcW w:w="93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90,64</w:t>
            </w:r>
          </w:p>
        </w:tc>
        <w:tc>
          <w:tcPr>
            <w:tcW w:w="1290" w:type="dxa"/>
            <w:tcBorders>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1,55</w:t>
            </w:r>
          </w:p>
        </w:tc>
        <w:tc>
          <w:tcPr>
            <w:tcW w:w="67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-1,39</w:t>
            </w:r>
          </w:p>
        </w:tc>
        <w:tc>
          <w:tcPr>
            <w:tcW w:w="56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-0,05</w:t>
            </w:r>
          </w:p>
        </w:tc>
        <w:tc>
          <w:tcPr>
            <w:tcW w:w="1134" w:type="dxa"/>
            <w:tcBorders>
              <w:top w:val="single" w:sz="4" w:space="0" w:color="000000"/>
              <w:left w:val="single" w:sz="4" w:space="0" w:color="000000"/>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r>
        <w:trPr>
          <w:trHeight w:val="300" w:hRule="atLeast"/>
        </w:trPr>
        <w:tc>
          <w:tcPr>
            <w:tcW w:w="3677"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B7.6 Copertura per vaccino antipneumococcico</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93,27</w:t>
            </w:r>
          </w:p>
        </w:tc>
        <w:tc>
          <w:tcPr>
            <w:tcW w:w="93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92,83</w:t>
            </w:r>
          </w:p>
        </w:tc>
        <w:tc>
          <w:tcPr>
            <w:tcW w:w="1290" w:type="dxa"/>
            <w:tcBorders>
              <w:bottom w:val="single" w:sz="4" w:space="0" w:color="000000"/>
              <w:right w:val="single" w:sz="4" w:space="0" w:color="000000"/>
            </w:tcBorders>
            <w:shd w:color="auto" w:fill="FFFF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2,28</w:t>
            </w:r>
          </w:p>
        </w:tc>
        <w:tc>
          <w:tcPr>
            <w:tcW w:w="67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-0,46</w:t>
            </w:r>
          </w:p>
        </w:tc>
        <w:tc>
          <w:tcPr>
            <w:tcW w:w="56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0,16</w:t>
            </w:r>
          </w:p>
        </w:tc>
        <w:tc>
          <w:tcPr>
            <w:tcW w:w="1134"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Attenzione</w:t>
            </w:r>
          </w:p>
        </w:tc>
      </w:tr>
      <w:tr>
        <w:trPr>
          <w:trHeight w:val="300" w:hRule="atLeast"/>
        </w:trPr>
        <w:tc>
          <w:tcPr>
            <w:tcW w:w="3677"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B7.7 Copertura per vaccino esavalente</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96,5</w:t>
            </w:r>
          </w:p>
        </w:tc>
        <w:tc>
          <w:tcPr>
            <w:tcW w:w="93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96,95</w:t>
            </w:r>
          </w:p>
        </w:tc>
        <w:tc>
          <w:tcPr>
            <w:tcW w:w="1290" w:type="dxa"/>
            <w:tcBorders>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3,65</w:t>
            </w:r>
          </w:p>
        </w:tc>
        <w:tc>
          <w:tcPr>
            <w:tcW w:w="67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0,47</w:t>
            </w:r>
          </w:p>
        </w:tc>
        <w:tc>
          <w:tcPr>
            <w:tcW w:w="56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0,06</w:t>
            </w:r>
          </w:p>
        </w:tc>
        <w:tc>
          <w:tcPr>
            <w:tcW w:w="1134"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Buona</w:t>
            </w:r>
          </w:p>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Strada</w:t>
            </w:r>
          </w:p>
        </w:tc>
      </w:tr>
      <w:tr>
        <w:trPr>
          <w:trHeight w:val="300" w:hRule="atLeast"/>
        </w:trPr>
        <w:tc>
          <w:tcPr>
            <w:tcW w:w="3677"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B7.8 Copertura vaccinale varicella</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94,55</w:t>
            </w:r>
          </w:p>
        </w:tc>
        <w:tc>
          <w:tcPr>
            <w:tcW w:w="93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94,78</w:t>
            </w:r>
          </w:p>
        </w:tc>
        <w:tc>
          <w:tcPr>
            <w:tcW w:w="1290" w:type="dxa"/>
            <w:tcBorders>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4,98</w:t>
            </w:r>
          </w:p>
        </w:tc>
        <w:tc>
          <w:tcPr>
            <w:tcW w:w="67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0,24</w:t>
            </w:r>
          </w:p>
        </w:tc>
        <w:tc>
          <w:tcPr>
            <w:tcW w:w="565"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0,14</w:t>
            </w:r>
          </w:p>
        </w:tc>
        <w:tc>
          <w:tcPr>
            <w:tcW w:w="1134"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 xml:space="preserve">Buona </w:t>
            </w:r>
          </w:p>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Strada</w:t>
            </w:r>
          </w:p>
        </w:tc>
      </w:tr>
    </w:tbl>
    <w:p>
      <w:pPr>
        <w:pStyle w:val="Titolo2"/>
        <w:spacing w:lineRule="atLeast" w:line="320" w:before="0" w:after="120"/>
        <w:jc w:val="both"/>
        <w:rPr>
          <w:rFonts w:ascii="Calibri" w:hAnsi="Calibri" w:cs="Calibri"/>
          <w:i w:val="false"/>
          <w:i w:val="false"/>
          <w:iCs w:val="false"/>
          <w:sz w:val="22"/>
          <w:szCs w:val="22"/>
        </w:rPr>
      </w:pPr>
      <w:bookmarkStart w:id="18" w:name="_Toc152228342"/>
      <w:bookmarkStart w:id="19" w:name="_Toc40088918"/>
      <w:r>
        <w:rPr>
          <w:rFonts w:cs="Calibri" w:ascii="Calibri" w:hAnsi="Calibri"/>
          <w:i w:val="false"/>
          <w:iCs w:val="false"/>
          <w:sz w:val="22"/>
          <w:szCs w:val="22"/>
        </w:rPr>
        <w:t>2.3.2 SCREENING ONCOLOGICI</w:t>
      </w:r>
      <w:bookmarkEnd w:id="18"/>
      <w:bookmarkEnd w:id="19"/>
    </w:p>
    <w:p>
      <w:pPr>
        <w:pStyle w:val="Normal"/>
        <w:spacing w:lineRule="atLeast" w:line="320" w:before="0" w:after="120"/>
        <w:rPr>
          <w:rFonts w:ascii="Calibri" w:hAnsi="Calibri" w:cs="Arial"/>
          <w:sz w:val="22"/>
          <w:szCs w:val="22"/>
        </w:rPr>
      </w:pPr>
      <w:r>
        <w:rPr>
          <w:rFonts w:cs="Arial" w:ascii="Calibri" w:hAnsi="Calibri"/>
          <w:sz w:val="22"/>
          <w:szCs w:val="22"/>
        </w:rPr>
        <w:t>Gli indicatori sugli screening oncologici del 2022 non sono ancora disponibili. Verranno forniti i dati quanto prima.</w:t>
      </w:r>
    </w:p>
    <w:p>
      <w:pPr>
        <w:pStyle w:val="Titolo2"/>
        <w:spacing w:lineRule="atLeast" w:line="320" w:before="0" w:after="120"/>
        <w:jc w:val="both"/>
        <w:rPr>
          <w:rFonts w:ascii="Calibri" w:hAnsi="Calibri" w:cs="Calibri"/>
          <w:i w:val="false"/>
          <w:i w:val="false"/>
          <w:iCs w:val="false"/>
          <w:sz w:val="22"/>
          <w:szCs w:val="22"/>
        </w:rPr>
      </w:pPr>
      <w:bookmarkStart w:id="20" w:name="_Toc152228343"/>
      <w:r>
        <w:rPr>
          <w:rFonts w:cs="Calibri" w:ascii="Calibri" w:hAnsi="Calibri"/>
          <w:i w:val="false"/>
          <w:iCs w:val="false"/>
          <w:sz w:val="22"/>
          <w:szCs w:val="22"/>
        </w:rPr>
        <w:t>2.3.3 PISL</w:t>
      </w:r>
      <w:bookmarkStart w:id="21" w:name="_Hlk74313324"/>
      <w:bookmarkEnd w:id="21"/>
      <w:r>
        <w:rPr>
          <w:rFonts w:cs="Calibri" w:ascii="Calibri" w:hAnsi="Calibri"/>
          <w:i w:val="false"/>
          <w:iCs w:val="false"/>
          <w:sz w:val="22"/>
          <w:szCs w:val="22"/>
        </w:rPr>
        <w:t>L</w:t>
      </w:r>
      <w:bookmarkEnd w:id="20"/>
    </w:p>
    <w:p>
      <w:pPr>
        <w:pStyle w:val="Normal"/>
        <w:spacing w:lineRule="atLeast" w:line="320" w:before="0" w:after="120"/>
        <w:jc w:val="both"/>
        <w:rPr>
          <w:rFonts w:ascii="Calibri" w:hAnsi="Calibri" w:cs="Arial"/>
          <w:color w:val="000000"/>
          <w:sz w:val="22"/>
          <w:szCs w:val="22"/>
        </w:rPr>
      </w:pPr>
      <w:r>
        <w:rPr>
          <w:rFonts w:cs="Arial" w:ascii="Calibri" w:hAnsi="Calibri"/>
          <w:sz w:val="22"/>
          <w:szCs w:val="22"/>
        </w:rPr>
        <w:t xml:space="preserve">L’azienda USL Toscana centro si posiziona su valori allineati alla media regionale per la maggior parte degli indicatori (Tabella 15). </w:t>
      </w:r>
    </w:p>
    <w:p>
      <w:pPr>
        <w:pStyle w:val="Normal"/>
        <w:spacing w:lineRule="atLeast" w:line="320" w:before="0" w:after="120"/>
        <w:jc w:val="both"/>
        <w:rPr>
          <w:rFonts w:ascii="Calibri" w:hAnsi="Calibri" w:cs="Arial"/>
          <w:color w:val="000000"/>
          <w:sz w:val="22"/>
          <w:szCs w:val="22"/>
        </w:rPr>
      </w:pPr>
      <w:r>
        <w:rPr>
          <w:rFonts w:cs="Calibri" w:ascii="Calibri" w:hAnsi="Calibri"/>
          <w:b/>
          <w:bCs/>
          <w:color w:val="000000"/>
          <w:sz w:val="22"/>
          <w:szCs w:val="22"/>
        </w:rPr>
        <w:t>Tabella 15. Indicatori MES su Prevenzione Igiene e Sicurezza nei luoghi di lavoro dell’AUSL Toscana Centro, anno 2022</w:t>
      </w:r>
    </w:p>
    <w:tbl>
      <w:tblPr>
        <w:tblW w:w="9454" w:type="dxa"/>
        <w:jc w:val="left"/>
        <w:tblInd w:w="-5" w:type="dxa"/>
        <w:tblLayout w:type="fixed"/>
        <w:tblCellMar>
          <w:top w:w="0" w:type="dxa"/>
          <w:left w:w="70" w:type="dxa"/>
          <w:bottom w:w="0" w:type="dxa"/>
          <w:right w:w="70" w:type="dxa"/>
        </w:tblCellMar>
        <w:tblLook w:firstRow="1" w:noVBand="1" w:lastRow="0" w:firstColumn="1" w:lastColumn="0" w:noHBand="0" w:val="04a0"/>
      </w:tblPr>
      <w:tblGrid>
        <w:gridCol w:w="5946"/>
        <w:gridCol w:w="1037"/>
        <w:gridCol w:w="1240"/>
        <w:gridCol w:w="1230"/>
      </w:tblGrid>
      <w:tr>
        <w:trPr>
          <w:trHeight w:val="300" w:hRule="atLeast"/>
        </w:trPr>
        <w:tc>
          <w:tcPr>
            <w:tcW w:w="59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8"/>
                <w:szCs w:val="18"/>
              </w:rPr>
            </w:pPr>
            <w:r>
              <w:rPr>
                <w:rFonts w:cs="Calibri" w:ascii="Calibri" w:hAnsi="Calibri"/>
                <w:b/>
                <w:bCs/>
                <w:color w:val="000000"/>
                <w:sz w:val="18"/>
                <w:szCs w:val="18"/>
              </w:rPr>
              <w:t>Indicatore</w:t>
            </w:r>
          </w:p>
        </w:tc>
        <w:tc>
          <w:tcPr>
            <w:tcW w:w="103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8"/>
                <w:szCs w:val="18"/>
              </w:rPr>
            </w:pPr>
            <w:r>
              <w:rPr>
                <w:rFonts w:cs="Calibri" w:ascii="Calibri" w:hAnsi="Calibri"/>
                <w:b/>
                <w:bCs/>
                <w:color w:val="000000"/>
                <w:sz w:val="18"/>
                <w:szCs w:val="18"/>
              </w:rPr>
              <w:t>Valore 2021</w:t>
            </w:r>
          </w:p>
        </w:tc>
        <w:tc>
          <w:tcPr>
            <w:tcW w:w="1240"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8"/>
                <w:szCs w:val="18"/>
              </w:rPr>
            </w:pPr>
            <w:r>
              <w:rPr>
                <w:rFonts w:cs="Calibri" w:ascii="Calibri" w:hAnsi="Calibri"/>
                <w:b/>
                <w:bCs/>
                <w:color w:val="000000"/>
                <w:sz w:val="18"/>
                <w:szCs w:val="18"/>
              </w:rPr>
              <w:t>Valore 2022</w:t>
            </w:r>
          </w:p>
        </w:tc>
        <w:tc>
          <w:tcPr>
            <w:tcW w:w="1230"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8"/>
                <w:szCs w:val="18"/>
              </w:rPr>
            </w:pPr>
            <w:r>
              <w:rPr>
                <w:rFonts w:cs="Calibri" w:ascii="Calibri" w:hAnsi="Calibri"/>
                <w:b/>
                <w:bCs/>
                <w:color w:val="000000"/>
                <w:sz w:val="18"/>
                <w:szCs w:val="18"/>
              </w:rPr>
              <w:t>Valutazione 2022</w:t>
            </w:r>
          </w:p>
        </w:tc>
      </w:tr>
      <w:tr>
        <w:trPr>
          <w:trHeight w:val="300" w:hRule="atLeast"/>
        </w:trPr>
        <w:tc>
          <w:tcPr>
            <w:tcW w:w="5946"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8"/>
                <w:szCs w:val="18"/>
              </w:rPr>
            </w:pPr>
            <w:r>
              <w:rPr>
                <w:rFonts w:cs="Calibri" w:ascii="Calibri" w:hAnsi="Calibri"/>
                <w:color w:val="000000"/>
                <w:sz w:val="18"/>
                <w:szCs w:val="18"/>
              </w:rPr>
              <w:t>F15.1.8 % di aziende agricole controllate rispetto all'obiettivo aziende agricole</w:t>
            </w:r>
          </w:p>
        </w:tc>
        <w:tc>
          <w:tcPr>
            <w:tcW w:w="10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132,27</w:t>
            </w:r>
          </w:p>
        </w:tc>
        <w:tc>
          <w:tcPr>
            <w:tcW w:w="1240"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113,18</w:t>
            </w:r>
          </w:p>
        </w:tc>
        <w:tc>
          <w:tcPr>
            <w:tcW w:w="1230" w:type="dxa"/>
            <w:tcBorders>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4,32</w:t>
            </w:r>
          </w:p>
        </w:tc>
      </w:tr>
      <w:tr>
        <w:trPr>
          <w:trHeight w:val="300" w:hRule="atLeast"/>
        </w:trPr>
        <w:tc>
          <w:tcPr>
            <w:tcW w:w="5946"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8"/>
                <w:szCs w:val="18"/>
              </w:rPr>
            </w:pPr>
            <w:r>
              <w:rPr>
                <w:rFonts w:cs="Calibri" w:ascii="Calibri" w:hAnsi="Calibri"/>
                <w:color w:val="000000"/>
                <w:sz w:val="18"/>
                <w:szCs w:val="18"/>
              </w:rPr>
              <w:t>F15.2.1T N. Aziende controllate/N.PAT INAIL</w:t>
            </w:r>
          </w:p>
        </w:tc>
        <w:tc>
          <w:tcPr>
            <w:tcW w:w="10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7,25</w:t>
            </w:r>
          </w:p>
        </w:tc>
        <w:tc>
          <w:tcPr>
            <w:tcW w:w="1240"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7,23</w:t>
            </w:r>
          </w:p>
        </w:tc>
        <w:tc>
          <w:tcPr>
            <w:tcW w:w="1230" w:type="dxa"/>
            <w:tcBorders>
              <w:bottom w:val="single" w:sz="4" w:space="0" w:color="000000"/>
              <w:right w:val="single" w:sz="4" w:space="0" w:color="000000"/>
            </w:tcBorders>
            <w:shd w:color="auto" w:fill="FFFF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2,81</w:t>
            </w:r>
          </w:p>
        </w:tc>
      </w:tr>
      <w:tr>
        <w:trPr>
          <w:trHeight w:val="300" w:hRule="atLeast"/>
        </w:trPr>
        <w:tc>
          <w:tcPr>
            <w:tcW w:w="5946"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8"/>
                <w:szCs w:val="18"/>
              </w:rPr>
            </w:pPr>
            <w:r>
              <w:rPr>
                <w:rFonts w:cs="Calibri" w:ascii="Calibri" w:hAnsi="Calibri"/>
                <w:color w:val="000000"/>
                <w:sz w:val="18"/>
                <w:szCs w:val="18"/>
              </w:rPr>
              <w:t>F15.2.3T N. Cantieri controllati/N. Controlli in edilizia secondo programmazione</w:t>
            </w:r>
          </w:p>
        </w:tc>
        <w:tc>
          <w:tcPr>
            <w:tcW w:w="10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150,42</w:t>
            </w:r>
          </w:p>
        </w:tc>
        <w:tc>
          <w:tcPr>
            <w:tcW w:w="1240"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119,82</w:t>
            </w:r>
          </w:p>
        </w:tc>
        <w:tc>
          <w:tcPr>
            <w:tcW w:w="1230" w:type="dxa"/>
            <w:tcBorders>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3,99</w:t>
            </w:r>
          </w:p>
        </w:tc>
      </w:tr>
      <w:tr>
        <w:trPr>
          <w:trHeight w:val="300" w:hRule="atLeast"/>
        </w:trPr>
        <w:tc>
          <w:tcPr>
            <w:tcW w:w="5946"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8"/>
                <w:szCs w:val="18"/>
              </w:rPr>
            </w:pPr>
            <w:r>
              <w:rPr>
                <w:rFonts w:cs="Calibri" w:ascii="Calibri" w:hAnsi="Calibri"/>
                <w:color w:val="000000"/>
                <w:sz w:val="18"/>
                <w:szCs w:val="18"/>
              </w:rPr>
              <w:t>F15.3.1T N. Aziende controllate/N. Personale UPG SPSAL</w:t>
            </w:r>
          </w:p>
        </w:tc>
        <w:tc>
          <w:tcPr>
            <w:tcW w:w="10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42,88</w:t>
            </w:r>
          </w:p>
        </w:tc>
        <w:tc>
          <w:tcPr>
            <w:tcW w:w="1240"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41,01</w:t>
            </w:r>
          </w:p>
        </w:tc>
        <w:tc>
          <w:tcPr>
            <w:tcW w:w="1230" w:type="dxa"/>
            <w:tcBorders>
              <w:bottom w:val="single" w:sz="4" w:space="0" w:color="000000"/>
              <w:right w:val="single" w:sz="4" w:space="0" w:color="000000"/>
            </w:tcBorders>
            <w:shd w:color="auto" w:fill="FFFF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2,19</w:t>
            </w:r>
          </w:p>
        </w:tc>
      </w:tr>
    </w:tbl>
    <w:p>
      <w:pPr>
        <w:pStyle w:val="Titolo1"/>
        <w:spacing w:lineRule="atLeast" w:line="320" w:before="0" w:after="120"/>
        <w:rPr>
          <w:rFonts w:ascii="Calibri" w:hAnsi="Calibri" w:cs="Calibri"/>
          <w:caps/>
          <w:sz w:val="22"/>
          <w:szCs w:val="22"/>
        </w:rPr>
      </w:pPr>
      <w:bookmarkStart w:id="22" w:name="_Toc152228344"/>
      <w:r>
        <w:rPr>
          <w:rFonts w:cs="Calibri" w:ascii="Calibri" w:hAnsi="Calibri"/>
          <w:caps/>
          <w:sz w:val="22"/>
          <w:szCs w:val="22"/>
        </w:rPr>
        <w:t>2.4 TERRITORIO</w:t>
      </w:r>
      <w:bookmarkEnd w:id="22"/>
    </w:p>
    <w:p>
      <w:pPr>
        <w:pStyle w:val="Titolo2"/>
        <w:spacing w:lineRule="atLeast" w:line="320" w:before="0" w:after="120"/>
        <w:jc w:val="both"/>
        <w:rPr>
          <w:rFonts w:ascii="Calibri" w:hAnsi="Calibri" w:cs="Calibri"/>
          <w:i w:val="false"/>
          <w:i w:val="false"/>
          <w:iCs w:val="false"/>
          <w:sz w:val="22"/>
          <w:szCs w:val="22"/>
        </w:rPr>
      </w:pPr>
      <w:bookmarkStart w:id="23" w:name="_Toc152228345"/>
      <w:r>
        <w:rPr>
          <w:rFonts w:cs="Calibri" w:ascii="Calibri" w:hAnsi="Calibri"/>
          <w:i w:val="false"/>
          <w:iCs w:val="false"/>
          <w:sz w:val="22"/>
          <w:szCs w:val="22"/>
        </w:rPr>
        <w:t>2.4.1 CURE PRIMARIE</w:t>
      </w:r>
      <w:bookmarkEnd w:id="23"/>
    </w:p>
    <w:p>
      <w:pPr>
        <w:pStyle w:val="Normal"/>
        <w:spacing w:lineRule="atLeast" w:line="320" w:before="0" w:after="120"/>
        <w:jc w:val="both"/>
        <w:rPr>
          <w:rFonts w:ascii="Calibri" w:hAnsi="Calibri" w:cs="Calibri"/>
          <w:sz w:val="22"/>
          <w:szCs w:val="22"/>
        </w:rPr>
      </w:pPr>
      <w:r>
        <w:rPr>
          <w:rFonts w:cs="Calibri" w:ascii="Calibri" w:hAnsi="Calibri"/>
          <w:sz w:val="22"/>
          <w:szCs w:val="22"/>
        </w:rPr>
        <w:t>In riferimento all’assistenza domiciliare e residenziale l’azienda USL Toscana Centro si posiziona complessivamente su buoni livelli per performance anche se si evidenza una tendenza al decremento delle prestazioni, tale fenomeno non si conferma per la percentuale di assistiti in ADI con almeno un accesso al PS durante la Presa in Carico domiciliare over 65 anni, che evidenzia un consistente miglioramento; resta ancora critica la variabilità nelle diverse zone distretto (Tabella 16).</w:t>
      </w:r>
    </w:p>
    <w:p>
      <w:pPr>
        <w:pStyle w:val="Normal"/>
        <w:spacing w:lineRule="atLeast" w:line="320" w:before="0" w:after="120"/>
        <w:rPr>
          <w:color w:val="000000"/>
        </w:rPr>
      </w:pPr>
      <w:r>
        <w:rPr>
          <w:rFonts w:cs="Calibri" w:ascii="Calibri" w:hAnsi="Calibri"/>
          <w:b/>
          <w:bCs/>
          <w:color w:val="000000"/>
          <w:sz w:val="22"/>
          <w:szCs w:val="22"/>
        </w:rPr>
        <w:t>Tabella 16. Indicatori MES sulle cure primarie dell’AUSL Toscana Centro, anno 2022</w:t>
      </w:r>
    </w:p>
    <w:tbl>
      <w:tblPr>
        <w:tblW w:w="9633" w:type="dxa"/>
        <w:jc w:val="left"/>
        <w:tblInd w:w="-5" w:type="dxa"/>
        <w:tblLayout w:type="fixed"/>
        <w:tblCellMar>
          <w:top w:w="0" w:type="dxa"/>
          <w:left w:w="70" w:type="dxa"/>
          <w:bottom w:w="0" w:type="dxa"/>
          <w:right w:w="70" w:type="dxa"/>
        </w:tblCellMar>
        <w:tblLook w:firstRow="1" w:noVBand="1" w:lastRow="0" w:firstColumn="1" w:lastColumn="0" w:noHBand="0" w:val="04a0"/>
      </w:tblPr>
      <w:tblGrid>
        <w:gridCol w:w="4677"/>
        <w:gridCol w:w="853"/>
        <w:gridCol w:w="708"/>
        <w:gridCol w:w="849"/>
        <w:gridCol w:w="709"/>
        <w:gridCol w:w="708"/>
        <w:gridCol w:w="1128"/>
      </w:tblGrid>
      <w:tr>
        <w:trPr>
          <w:trHeight w:val="300" w:hRule="atLeast"/>
        </w:trPr>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Indicatore</w:t>
            </w:r>
          </w:p>
        </w:tc>
        <w:tc>
          <w:tcPr>
            <w:tcW w:w="853"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Valore 2021</w:t>
            </w:r>
          </w:p>
        </w:tc>
        <w:tc>
          <w:tcPr>
            <w:tcW w:w="708"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Valore 2022</w:t>
            </w:r>
          </w:p>
        </w:tc>
        <w:tc>
          <w:tcPr>
            <w:tcW w:w="849"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Valutazione 2022</w:t>
            </w:r>
          </w:p>
        </w:tc>
        <w:tc>
          <w:tcPr>
            <w:tcW w:w="709"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Δ (%)</w:t>
            </w:r>
          </w:p>
        </w:tc>
        <w:tc>
          <w:tcPr>
            <w:tcW w:w="708"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Δ CV</w:t>
            </w:r>
          </w:p>
        </w:tc>
        <w:tc>
          <w:tcPr>
            <w:tcW w:w="1128"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Variabilità</w:t>
            </w:r>
          </w:p>
        </w:tc>
      </w:tr>
      <w:tr>
        <w:trPr>
          <w:trHeight w:val="300" w:hRule="atLeast"/>
        </w:trPr>
        <w:tc>
          <w:tcPr>
            <w:tcW w:w="4677"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B28.1.2 Percentuale di anziani in Cure Domiciliari con valutazione</w:t>
            </w:r>
          </w:p>
        </w:tc>
        <w:tc>
          <w:tcPr>
            <w:tcW w:w="8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14,08</w:t>
            </w:r>
          </w:p>
        </w:tc>
        <w:tc>
          <w:tcPr>
            <w:tcW w:w="70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12,07</w:t>
            </w:r>
          </w:p>
        </w:tc>
        <w:tc>
          <w:tcPr>
            <w:tcW w:w="849" w:type="dxa"/>
            <w:tcBorders>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4,47</w:t>
            </w:r>
          </w:p>
        </w:tc>
        <w:tc>
          <w:tcPr>
            <w:tcW w:w="70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-14,28</w:t>
            </w:r>
          </w:p>
        </w:tc>
        <w:tc>
          <w:tcPr>
            <w:tcW w:w="70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-0,16</w:t>
            </w:r>
          </w:p>
        </w:tc>
        <w:tc>
          <w:tcPr>
            <w:tcW w:w="1128" w:type="dxa"/>
            <w:tcBorders>
              <w:top w:val="single" w:sz="4" w:space="0" w:color="000000"/>
              <w:left w:val="single" w:sz="4" w:space="0" w:color="000000"/>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r>
        <w:trPr>
          <w:trHeight w:val="300" w:hRule="atLeast"/>
        </w:trPr>
        <w:tc>
          <w:tcPr>
            <w:tcW w:w="4677"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B28.1.5 Percentuale di accessi domiciliari effettuati il sabato, la domenica e giorni festivi</w:t>
            </w:r>
          </w:p>
        </w:tc>
        <w:tc>
          <w:tcPr>
            <w:tcW w:w="8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13,34</w:t>
            </w:r>
          </w:p>
        </w:tc>
        <w:tc>
          <w:tcPr>
            <w:tcW w:w="70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12,37</w:t>
            </w:r>
          </w:p>
        </w:tc>
        <w:tc>
          <w:tcPr>
            <w:tcW w:w="849" w:type="dxa"/>
            <w:tcBorders>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3,19</w:t>
            </w:r>
          </w:p>
        </w:tc>
        <w:tc>
          <w:tcPr>
            <w:tcW w:w="70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-7,21</w:t>
            </w:r>
          </w:p>
        </w:tc>
        <w:tc>
          <w:tcPr>
            <w:tcW w:w="70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-0,15</w:t>
            </w:r>
          </w:p>
        </w:tc>
        <w:tc>
          <w:tcPr>
            <w:tcW w:w="1128" w:type="dxa"/>
            <w:tcBorders>
              <w:top w:val="single" w:sz="4" w:space="0" w:color="000000"/>
              <w:left w:val="single" w:sz="4" w:space="0" w:color="000000"/>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r>
        <w:trPr>
          <w:trHeight w:val="300" w:hRule="atLeast"/>
        </w:trPr>
        <w:tc>
          <w:tcPr>
            <w:tcW w:w="4677"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B28.2.12 Percentuale di assistiti in ADI con almeno un accesso al PS durante la Presa in Carico domiciliare, over 65 anni</w:t>
            </w:r>
          </w:p>
        </w:tc>
        <w:tc>
          <w:tcPr>
            <w:tcW w:w="8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15,99</w:t>
            </w:r>
          </w:p>
        </w:tc>
        <w:tc>
          <w:tcPr>
            <w:tcW w:w="70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19,44</w:t>
            </w:r>
          </w:p>
        </w:tc>
        <w:tc>
          <w:tcPr>
            <w:tcW w:w="849" w:type="dxa"/>
            <w:tcBorders>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3,58</w:t>
            </w:r>
          </w:p>
        </w:tc>
        <w:tc>
          <w:tcPr>
            <w:tcW w:w="70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-21,16</w:t>
            </w:r>
          </w:p>
        </w:tc>
        <w:tc>
          <w:tcPr>
            <w:tcW w:w="70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-0,13</w:t>
            </w:r>
          </w:p>
        </w:tc>
        <w:tc>
          <w:tcPr>
            <w:tcW w:w="1128" w:type="dxa"/>
            <w:tcBorders>
              <w:top w:val="single" w:sz="4" w:space="0" w:color="000000"/>
              <w:left w:val="single" w:sz="4" w:space="0" w:color="000000"/>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r>
        <w:trPr>
          <w:trHeight w:val="300" w:hRule="atLeast"/>
        </w:trPr>
        <w:tc>
          <w:tcPr>
            <w:tcW w:w="4677"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B28.2.2 Tasso di assistiti con almeno 8 accessi al mese per 1.000 residenti</w:t>
            </w:r>
          </w:p>
        </w:tc>
        <w:tc>
          <w:tcPr>
            <w:tcW w:w="8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8,75</w:t>
            </w:r>
          </w:p>
        </w:tc>
        <w:tc>
          <w:tcPr>
            <w:tcW w:w="70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7,54</w:t>
            </w:r>
          </w:p>
        </w:tc>
        <w:tc>
          <w:tcPr>
            <w:tcW w:w="849" w:type="dxa"/>
            <w:tcBorders>
              <w:bottom w:val="single" w:sz="4" w:space="0" w:color="000000"/>
              <w:right w:val="single" w:sz="4" w:space="0" w:color="000000"/>
            </w:tcBorders>
            <w:shd w:color="auto" w:fill="FFFF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2,77</w:t>
            </w:r>
          </w:p>
        </w:tc>
        <w:tc>
          <w:tcPr>
            <w:tcW w:w="70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-13,85</w:t>
            </w:r>
          </w:p>
        </w:tc>
        <w:tc>
          <w:tcPr>
            <w:tcW w:w="70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0,10</w:t>
            </w:r>
          </w:p>
        </w:tc>
        <w:tc>
          <w:tcPr>
            <w:tcW w:w="1128"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Attenzione</w:t>
            </w:r>
          </w:p>
        </w:tc>
      </w:tr>
      <w:tr>
        <w:trPr>
          <w:trHeight w:val="300" w:hRule="atLeast"/>
        </w:trPr>
        <w:tc>
          <w:tcPr>
            <w:tcW w:w="4677"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B28.2.5 Percentuale di dimissioni da ospedale a domicilio di ultra 75enni con almeno un accesso domiciliare entro 2 giorni dalla dimissione</w:t>
            </w:r>
          </w:p>
        </w:tc>
        <w:tc>
          <w:tcPr>
            <w:tcW w:w="8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13,13</w:t>
            </w:r>
          </w:p>
        </w:tc>
        <w:tc>
          <w:tcPr>
            <w:tcW w:w="70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12,79</w:t>
            </w:r>
          </w:p>
        </w:tc>
        <w:tc>
          <w:tcPr>
            <w:tcW w:w="849" w:type="dxa"/>
            <w:tcBorders>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4,82</w:t>
            </w:r>
          </w:p>
        </w:tc>
        <w:tc>
          <w:tcPr>
            <w:tcW w:w="70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-2,62</w:t>
            </w:r>
          </w:p>
        </w:tc>
        <w:tc>
          <w:tcPr>
            <w:tcW w:w="70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-0,12</w:t>
            </w:r>
          </w:p>
        </w:tc>
        <w:tc>
          <w:tcPr>
            <w:tcW w:w="1128" w:type="dxa"/>
            <w:tcBorders>
              <w:top w:val="single" w:sz="4" w:space="0" w:color="000000"/>
              <w:left w:val="single" w:sz="4" w:space="0" w:color="000000"/>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r>
        <w:trPr>
          <w:trHeight w:val="300" w:hRule="atLeast"/>
        </w:trPr>
        <w:tc>
          <w:tcPr>
            <w:tcW w:w="4677"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B28.3.1 Percentuale di presa in carico avvenuta entro 30 giorni dalla segnalazione</w:t>
            </w:r>
          </w:p>
        </w:tc>
        <w:tc>
          <w:tcPr>
            <w:tcW w:w="8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62,81</w:t>
            </w:r>
          </w:p>
        </w:tc>
        <w:tc>
          <w:tcPr>
            <w:tcW w:w="70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54,06</w:t>
            </w:r>
          </w:p>
        </w:tc>
        <w:tc>
          <w:tcPr>
            <w:tcW w:w="849" w:type="dxa"/>
            <w:tcBorders>
              <w:bottom w:val="single" w:sz="4" w:space="0" w:color="000000"/>
              <w:right w:val="single" w:sz="4" w:space="0" w:color="000000"/>
            </w:tcBorders>
            <w:shd w:color="auto" w:fill="FFFF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2,7</w:t>
            </w:r>
          </w:p>
        </w:tc>
        <w:tc>
          <w:tcPr>
            <w:tcW w:w="70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-13,93</w:t>
            </w:r>
          </w:p>
        </w:tc>
        <w:tc>
          <w:tcPr>
            <w:tcW w:w="70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0,32</w:t>
            </w:r>
          </w:p>
        </w:tc>
        <w:tc>
          <w:tcPr>
            <w:tcW w:w="1128"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Attenzione</w:t>
            </w:r>
          </w:p>
        </w:tc>
      </w:tr>
      <w:tr>
        <w:trPr>
          <w:trHeight w:val="300" w:hRule="atLeast"/>
        </w:trPr>
        <w:tc>
          <w:tcPr>
            <w:tcW w:w="4677"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B28.3.3 Percentuale di ammissioni in RSA avvenute entro 30 giorni dalla presa in carico</w:t>
            </w:r>
          </w:p>
        </w:tc>
        <w:tc>
          <w:tcPr>
            <w:tcW w:w="8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50,4</w:t>
            </w:r>
          </w:p>
        </w:tc>
        <w:tc>
          <w:tcPr>
            <w:tcW w:w="70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40,58</w:t>
            </w:r>
          </w:p>
        </w:tc>
        <w:tc>
          <w:tcPr>
            <w:tcW w:w="849" w:type="dxa"/>
            <w:tcBorders>
              <w:bottom w:val="single" w:sz="4" w:space="0" w:color="000000"/>
              <w:right w:val="single" w:sz="4" w:space="0" w:color="000000"/>
            </w:tcBorders>
            <w:shd w:color="auto" w:fill="FFFF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2,03</w:t>
            </w:r>
          </w:p>
        </w:tc>
        <w:tc>
          <w:tcPr>
            <w:tcW w:w="70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-12,49</w:t>
            </w:r>
          </w:p>
        </w:tc>
        <w:tc>
          <w:tcPr>
            <w:tcW w:w="70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0,02</w:t>
            </w:r>
          </w:p>
        </w:tc>
        <w:tc>
          <w:tcPr>
            <w:tcW w:w="1128"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Attenzione</w:t>
            </w:r>
          </w:p>
        </w:tc>
      </w:tr>
      <w:tr>
        <w:trPr>
          <w:trHeight w:val="300" w:hRule="atLeast"/>
        </w:trPr>
        <w:tc>
          <w:tcPr>
            <w:tcW w:w="4677"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B28.4 Tasso segnalazioni su popolazione &gt;= 65 anni</w:t>
            </w:r>
          </w:p>
        </w:tc>
        <w:tc>
          <w:tcPr>
            <w:tcW w:w="85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166,6</w:t>
            </w:r>
          </w:p>
        </w:tc>
        <w:tc>
          <w:tcPr>
            <w:tcW w:w="70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155,2</w:t>
            </w:r>
          </w:p>
        </w:tc>
        <w:tc>
          <w:tcPr>
            <w:tcW w:w="849" w:type="dxa"/>
            <w:tcBorders>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w:t>
            </w:r>
          </w:p>
        </w:tc>
        <w:tc>
          <w:tcPr>
            <w:tcW w:w="70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-6,84</w:t>
            </w:r>
          </w:p>
        </w:tc>
        <w:tc>
          <w:tcPr>
            <w:tcW w:w="70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-0,26</w:t>
            </w:r>
          </w:p>
        </w:tc>
        <w:tc>
          <w:tcPr>
            <w:tcW w:w="1128" w:type="dxa"/>
            <w:tcBorders>
              <w:top w:val="single" w:sz="4" w:space="0" w:color="000000"/>
              <w:left w:val="single" w:sz="4" w:space="0" w:color="000000"/>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bl>
    <w:p>
      <w:pPr>
        <w:pStyle w:val="Normal"/>
        <w:spacing w:lineRule="atLeast" w:line="320" w:before="0" w:after="120"/>
        <w:jc w:val="both"/>
        <w:rPr>
          <w:rFonts w:ascii="Calibri" w:hAnsi="Calibri" w:cs="Calibri"/>
          <w:sz w:val="22"/>
          <w:szCs w:val="22"/>
        </w:rPr>
      </w:pPr>
      <w:r>
        <w:rPr>
          <w:rFonts w:cs="Calibri" w:ascii="Calibri" w:hAnsi="Calibri"/>
          <w:sz w:val="22"/>
          <w:szCs w:val="22"/>
        </w:rPr>
      </w:r>
    </w:p>
    <w:p>
      <w:pPr>
        <w:pStyle w:val="Normal"/>
        <w:spacing w:lineRule="atLeast" w:line="320" w:before="0" w:after="120"/>
        <w:jc w:val="both"/>
        <w:rPr>
          <w:rFonts w:ascii="Calibri" w:hAnsi="Calibri" w:cs="Calibri"/>
          <w:sz w:val="22"/>
          <w:szCs w:val="22"/>
        </w:rPr>
      </w:pPr>
      <w:r>
        <w:rPr>
          <w:rFonts w:cs="Calibri" w:ascii="Calibri" w:hAnsi="Calibri"/>
          <w:sz w:val="22"/>
          <w:szCs w:val="22"/>
        </w:rPr>
        <w:t xml:space="preserve">Complessivamente l’esecuzione degli esami diagnostici nelle patologie croniche descritte mostra un quadro generalizzato di miglioramento. Verosimilmente per questi indicatori, tuttavia, la riduzione dell’impatto dell’emergenza pandemica ha avuto un’influenza positiva sull’aderenza al percorso di cura (Tabelle 17 e 18). </w:t>
      </w:r>
    </w:p>
    <w:p>
      <w:pPr>
        <w:pStyle w:val="Normal"/>
        <w:spacing w:lineRule="atLeast" w:line="320" w:before="0" w:after="120"/>
        <w:rPr>
          <w:color w:val="000000"/>
        </w:rPr>
      </w:pPr>
      <w:r>
        <w:rPr>
          <w:rFonts w:cs="Calibri" w:ascii="Calibri" w:hAnsi="Calibri"/>
          <w:b/>
          <w:bCs/>
          <w:color w:val="000000"/>
          <w:sz w:val="22"/>
          <w:szCs w:val="22"/>
        </w:rPr>
        <w:t>Tabella 17. Indicatori MES su appropriatezza prescrittiva su diagnostica e trattamenti per particolari patologie, Azienda USL Toscana Centro, anno 2022</w:t>
      </w:r>
    </w:p>
    <w:tbl>
      <w:tblPr>
        <w:tblW w:w="9923" w:type="dxa"/>
        <w:jc w:val="left"/>
        <w:tblInd w:w="-5" w:type="dxa"/>
        <w:tblLayout w:type="fixed"/>
        <w:tblCellMar>
          <w:top w:w="0" w:type="dxa"/>
          <w:left w:w="70" w:type="dxa"/>
          <w:bottom w:w="0" w:type="dxa"/>
          <w:right w:w="70" w:type="dxa"/>
        </w:tblCellMar>
        <w:tblLook w:firstRow="1" w:noVBand="1" w:lastRow="0" w:firstColumn="1" w:lastColumn="0" w:noHBand="0" w:val="04a0"/>
      </w:tblPr>
      <w:tblGrid>
        <w:gridCol w:w="5104"/>
        <w:gridCol w:w="707"/>
        <w:gridCol w:w="776"/>
        <w:gridCol w:w="925"/>
        <w:gridCol w:w="711"/>
        <w:gridCol w:w="565"/>
        <w:gridCol w:w="1134"/>
      </w:tblGrid>
      <w:tr>
        <w:trPr>
          <w:trHeight w:val="300" w:hRule="atLeast"/>
        </w:trPr>
        <w:tc>
          <w:tcPr>
            <w:tcW w:w="51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Indicatore</w:t>
            </w:r>
          </w:p>
        </w:tc>
        <w:tc>
          <w:tcPr>
            <w:tcW w:w="70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Valore 2021</w:t>
            </w:r>
          </w:p>
        </w:tc>
        <w:tc>
          <w:tcPr>
            <w:tcW w:w="77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Valore 2022</w:t>
            </w:r>
          </w:p>
        </w:tc>
        <w:tc>
          <w:tcPr>
            <w:tcW w:w="925" w:type="dxa"/>
            <w:tcBorders>
              <w:top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Valutazione 2022</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Δ (%)</w:t>
            </w:r>
          </w:p>
        </w:tc>
        <w:tc>
          <w:tcPr>
            <w:tcW w:w="565"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Δ CV</w:t>
            </w:r>
          </w:p>
        </w:tc>
        <w:tc>
          <w:tcPr>
            <w:tcW w:w="1134"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Variabilità</w:t>
            </w:r>
          </w:p>
        </w:tc>
      </w:tr>
      <w:tr>
        <w:trPr>
          <w:trHeight w:val="300" w:hRule="atLeast"/>
        </w:trPr>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C10.5 Appropriatezza prescrittiva dei biomarcatori tumorali</w:t>
            </w:r>
          </w:p>
        </w:tc>
        <w:tc>
          <w:tcPr>
            <w:tcW w:w="70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435,24 </w:t>
            </w:r>
          </w:p>
        </w:tc>
        <w:tc>
          <w:tcPr>
            <w:tcW w:w="776"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452,93</w:t>
            </w:r>
          </w:p>
        </w:tc>
        <w:tc>
          <w:tcPr>
            <w:tcW w:w="925" w:type="dxa"/>
            <w:tcBorders>
              <w:bottom w:val="single" w:sz="4" w:space="0" w:color="000000"/>
              <w:right w:val="single" w:sz="4" w:space="0" w:color="000000"/>
            </w:tcBorders>
            <w:shd w:color="auto" w:fill="92D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3,22</w:t>
            </w:r>
          </w:p>
        </w:tc>
        <w:tc>
          <w:tcPr>
            <w:tcW w:w="71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-4,06</w:t>
            </w:r>
          </w:p>
        </w:tc>
        <w:tc>
          <w:tcPr>
            <w:tcW w:w="56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-0,06</w:t>
            </w:r>
          </w:p>
        </w:tc>
        <w:tc>
          <w:tcPr>
            <w:tcW w:w="1134" w:type="dxa"/>
            <w:tcBorders>
              <w:bottom w:val="single" w:sz="4" w:space="0" w:color="000000"/>
              <w:right w:val="single" w:sz="4" w:space="0" w:color="000000"/>
            </w:tcBorders>
            <w:shd w:color="auto" w:fill="C0000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r>
        <w:trPr>
          <w:trHeight w:val="300" w:hRule="atLeast"/>
        </w:trPr>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C11A.1.2A Residenti con Scompenso Cardiaco con almeno una misurazione di creatinina</w:t>
            </w:r>
          </w:p>
        </w:tc>
        <w:tc>
          <w:tcPr>
            <w:tcW w:w="70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65,88</w:t>
            </w:r>
          </w:p>
        </w:tc>
        <w:tc>
          <w:tcPr>
            <w:tcW w:w="776"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69,48</w:t>
            </w:r>
          </w:p>
        </w:tc>
        <w:tc>
          <w:tcPr>
            <w:tcW w:w="925" w:type="dxa"/>
            <w:tcBorders>
              <w:bottom w:val="single" w:sz="4" w:space="0" w:color="000000"/>
              <w:right w:val="single" w:sz="4" w:space="0" w:color="000000"/>
            </w:tcBorders>
            <w:shd w:color="auto" w:fill="92D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3,12</w:t>
            </w:r>
          </w:p>
        </w:tc>
        <w:tc>
          <w:tcPr>
            <w:tcW w:w="71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5,46</w:t>
            </w:r>
          </w:p>
        </w:tc>
        <w:tc>
          <w:tcPr>
            <w:tcW w:w="56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-0,48</w:t>
            </w:r>
          </w:p>
        </w:tc>
        <w:tc>
          <w:tcPr>
            <w:tcW w:w="1134" w:type="dxa"/>
            <w:tcBorders>
              <w:top w:val="single" w:sz="4" w:space="0" w:color="000000"/>
              <w:left w:val="single" w:sz="4" w:space="0" w:color="000000"/>
              <w:bottom w:val="single" w:sz="4" w:space="0" w:color="000000"/>
              <w:right w:val="single" w:sz="4" w:space="0" w:color="000000"/>
            </w:tcBorders>
            <w:shd w:color="auto" w:fill="00B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r>
        <w:trPr>
          <w:trHeight w:val="300" w:hRule="atLeast"/>
        </w:trPr>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C11A.1.2B Residenti con Scompenso Cardiaco con almeno una misurazione di sodio e potassio</w:t>
            </w:r>
          </w:p>
        </w:tc>
        <w:tc>
          <w:tcPr>
            <w:tcW w:w="70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51,18</w:t>
            </w:r>
          </w:p>
        </w:tc>
        <w:tc>
          <w:tcPr>
            <w:tcW w:w="776"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54,39</w:t>
            </w:r>
          </w:p>
        </w:tc>
        <w:tc>
          <w:tcPr>
            <w:tcW w:w="925" w:type="dxa"/>
            <w:tcBorders>
              <w:bottom w:val="single" w:sz="4" w:space="0" w:color="000000"/>
              <w:right w:val="single" w:sz="4" w:space="0" w:color="000000"/>
            </w:tcBorders>
            <w:shd w:color="auto" w:fill="FFFF0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2,7</w:t>
            </w:r>
          </w:p>
        </w:tc>
        <w:tc>
          <w:tcPr>
            <w:tcW w:w="71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6,28</w:t>
            </w:r>
          </w:p>
        </w:tc>
        <w:tc>
          <w:tcPr>
            <w:tcW w:w="56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-0,22</w:t>
            </w:r>
          </w:p>
        </w:tc>
        <w:tc>
          <w:tcPr>
            <w:tcW w:w="1134" w:type="dxa"/>
            <w:tcBorders>
              <w:top w:val="single" w:sz="4" w:space="0" w:color="000000"/>
              <w:left w:val="single" w:sz="4" w:space="0" w:color="000000"/>
              <w:bottom w:val="single" w:sz="4" w:space="0" w:color="000000"/>
              <w:right w:val="single" w:sz="4" w:space="0" w:color="000000"/>
            </w:tcBorders>
            <w:shd w:color="auto" w:fill="00B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r>
        <w:trPr>
          <w:trHeight w:val="300" w:hRule="atLeast"/>
        </w:trPr>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C11A.2.4 Tasso di amputazioni maggiori per Diabete per milione di residenti (triennale)</w:t>
            </w:r>
          </w:p>
        </w:tc>
        <w:tc>
          <w:tcPr>
            <w:tcW w:w="70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16,67</w:t>
            </w:r>
          </w:p>
        </w:tc>
        <w:tc>
          <w:tcPr>
            <w:tcW w:w="776"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15,31</w:t>
            </w:r>
          </w:p>
        </w:tc>
        <w:tc>
          <w:tcPr>
            <w:tcW w:w="925" w:type="dxa"/>
            <w:tcBorders>
              <w:bottom w:val="single" w:sz="4" w:space="0" w:color="000000"/>
              <w:right w:val="single" w:sz="4" w:space="0" w:color="000000"/>
            </w:tcBorders>
            <w:shd w:color="auto" w:fill="00B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4,11</w:t>
            </w:r>
          </w:p>
        </w:tc>
        <w:tc>
          <w:tcPr>
            <w:tcW w:w="71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8,13</w:t>
            </w:r>
          </w:p>
        </w:tc>
        <w:tc>
          <w:tcPr>
            <w:tcW w:w="56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0,02</w:t>
            </w:r>
          </w:p>
        </w:tc>
        <w:tc>
          <w:tcPr>
            <w:tcW w:w="1134" w:type="dxa"/>
            <w:tcBorders>
              <w:top w:val="single" w:sz="4" w:space="0" w:color="000000"/>
              <w:left w:val="single" w:sz="4" w:space="0" w:color="000000"/>
              <w:bottom w:val="single" w:sz="4" w:space="0" w:color="000000"/>
              <w:right w:val="single" w:sz="4" w:space="0" w:color="000000"/>
            </w:tcBorders>
            <w:shd w:color="auto" w:fill="92D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 xml:space="preserve">Buona </w:t>
            </w:r>
          </w:p>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Strada</w:t>
            </w:r>
          </w:p>
        </w:tc>
      </w:tr>
      <w:tr>
        <w:trPr>
          <w:trHeight w:val="167" w:hRule="atLeast"/>
        </w:trPr>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C11A.5.1 Residenti con Ictus in terapia antitrombotica</w:t>
            </w:r>
          </w:p>
        </w:tc>
        <w:tc>
          <w:tcPr>
            <w:tcW w:w="70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70,69</w:t>
            </w:r>
          </w:p>
        </w:tc>
        <w:tc>
          <w:tcPr>
            <w:tcW w:w="776"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70,41</w:t>
            </w:r>
          </w:p>
        </w:tc>
        <w:tc>
          <w:tcPr>
            <w:tcW w:w="925" w:type="dxa"/>
            <w:tcBorders>
              <w:bottom w:val="single" w:sz="4" w:space="0" w:color="000000"/>
              <w:right w:val="single" w:sz="4" w:space="0" w:color="000000"/>
            </w:tcBorders>
            <w:shd w:color="auto" w:fill="92D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3,52</w:t>
            </w:r>
          </w:p>
        </w:tc>
        <w:tc>
          <w:tcPr>
            <w:tcW w:w="71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-0,39</w:t>
            </w:r>
          </w:p>
        </w:tc>
        <w:tc>
          <w:tcPr>
            <w:tcW w:w="56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-0,06</w:t>
            </w:r>
          </w:p>
        </w:tc>
        <w:tc>
          <w:tcPr>
            <w:tcW w:w="1134" w:type="dxa"/>
            <w:tcBorders>
              <w:top w:val="single" w:sz="4" w:space="0" w:color="000000"/>
              <w:left w:val="single" w:sz="4" w:space="0" w:color="000000"/>
              <w:bottom w:val="single" w:sz="4" w:space="0" w:color="000000"/>
              <w:right w:val="single" w:sz="4" w:space="0" w:color="000000"/>
            </w:tcBorders>
            <w:shd w:color="auto" w:fill="C0000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p>
            <w:pPr>
              <w:pStyle w:val="Normal"/>
              <w:widowControl w:val="false"/>
              <w:suppressAutoHyphens w:val="false"/>
              <w:rPr>
                <w:rFonts w:ascii="Calibri" w:hAnsi="Calibri" w:cs="Calibri" w:asciiTheme="minorHAnsi" w:cstheme="minorHAnsi" w:hAnsiTheme="minorHAnsi"/>
                <w:color w:val="000000"/>
                <w:sz w:val="18"/>
                <w:szCs w:val="18"/>
              </w:rPr>
            </w:pPr>
            <w:r>
              <w:rPr>
                <w:rFonts w:cs="Calibri" w:cstheme="minorHAnsi" w:ascii="Calibri" w:hAnsi="Calibri"/>
                <w:color w:val="000000"/>
                <w:sz w:val="18"/>
                <w:szCs w:val="18"/>
              </w:rPr>
            </w:r>
          </w:p>
        </w:tc>
      </w:tr>
    </w:tbl>
    <w:p>
      <w:pPr>
        <w:pStyle w:val="Normal"/>
        <w:spacing w:lineRule="atLeast" w:line="320" w:before="0" w:after="120"/>
        <w:rPr>
          <w:rFonts w:ascii="Calibri" w:hAnsi="Calibri" w:cs="Calibri"/>
          <w:sz w:val="22"/>
          <w:szCs w:val="22"/>
        </w:rPr>
      </w:pPr>
      <w:r>
        <w:rPr>
          <w:rFonts w:cs="Calibri" w:ascii="Calibri" w:hAnsi="Calibri"/>
          <w:sz w:val="22"/>
          <w:szCs w:val="22"/>
        </w:rPr>
      </w:r>
    </w:p>
    <w:p>
      <w:pPr>
        <w:pStyle w:val="Normal"/>
        <w:spacing w:lineRule="atLeast" w:line="320" w:before="0" w:after="120"/>
        <w:rPr>
          <w:rFonts w:ascii="Calibri" w:hAnsi="Calibri" w:cs="Calibri"/>
          <w:sz w:val="22"/>
          <w:szCs w:val="22"/>
        </w:rPr>
      </w:pPr>
      <w:r>
        <w:rPr>
          <w:rFonts w:cs="Calibri" w:ascii="Calibri" w:hAnsi="Calibri"/>
          <w:sz w:val="22"/>
          <w:szCs w:val="22"/>
        </w:rPr>
      </w:r>
    </w:p>
    <w:p>
      <w:pPr>
        <w:pStyle w:val="Normal"/>
        <w:spacing w:lineRule="atLeast" w:line="320" w:before="0" w:after="120"/>
        <w:rPr>
          <w:rFonts w:ascii="Calibri" w:hAnsi="Calibri" w:cs="Calibri"/>
          <w:sz w:val="22"/>
          <w:szCs w:val="22"/>
        </w:rPr>
      </w:pPr>
      <w:r>
        <w:rPr>
          <w:rFonts w:cs="Calibri" w:ascii="Calibri" w:hAnsi="Calibri"/>
          <w:sz w:val="22"/>
          <w:szCs w:val="22"/>
        </w:rPr>
      </w:r>
    </w:p>
    <w:p>
      <w:pPr>
        <w:pStyle w:val="Normal"/>
        <w:spacing w:lineRule="atLeast" w:line="320" w:before="0" w:after="120"/>
        <w:rPr>
          <w:rFonts w:ascii="Calibri" w:hAnsi="Calibri" w:cs="Calibri"/>
          <w:sz w:val="22"/>
          <w:szCs w:val="22"/>
        </w:rPr>
      </w:pPr>
      <w:r>
        <w:rPr>
          <w:rFonts w:cs="Calibri" w:ascii="Calibri" w:hAnsi="Calibri"/>
          <w:sz w:val="22"/>
          <w:szCs w:val="22"/>
        </w:rPr>
      </w:r>
    </w:p>
    <w:p>
      <w:pPr>
        <w:pStyle w:val="Normal"/>
        <w:spacing w:lineRule="atLeast" w:line="320" w:before="0" w:after="120"/>
        <w:rPr>
          <w:color w:val="000000"/>
        </w:rPr>
      </w:pPr>
      <w:r>
        <w:rPr>
          <w:rFonts w:cs="Calibri" w:ascii="Calibri" w:hAnsi="Calibri"/>
          <w:b/>
          <w:bCs/>
          <w:color w:val="000000"/>
          <w:sz w:val="22"/>
          <w:szCs w:val="22"/>
        </w:rPr>
        <w:t>Tabella 18. Indicatori MES appropriatezza prescrittiva dei farmaci dell’AUSL Toscana Centro, anno 2022</w:t>
      </w:r>
    </w:p>
    <w:tbl>
      <w:tblPr>
        <w:tblW w:w="9955" w:type="dxa"/>
        <w:jc w:val="left"/>
        <w:tblInd w:w="-5" w:type="dxa"/>
        <w:tblLayout w:type="fixed"/>
        <w:tblCellMar>
          <w:top w:w="0" w:type="dxa"/>
          <w:left w:w="70" w:type="dxa"/>
          <w:bottom w:w="0" w:type="dxa"/>
          <w:right w:w="70" w:type="dxa"/>
        </w:tblCellMar>
        <w:tblLook w:firstRow="1" w:noVBand="1" w:lastRow="0" w:firstColumn="1" w:lastColumn="0" w:noHBand="0" w:val="04a0"/>
      </w:tblPr>
      <w:tblGrid>
        <w:gridCol w:w="4953"/>
        <w:gridCol w:w="781"/>
        <w:gridCol w:w="727"/>
        <w:gridCol w:w="1124"/>
        <w:gridCol w:w="585"/>
        <w:gridCol w:w="508"/>
        <w:gridCol w:w="1276"/>
      </w:tblGrid>
      <w:tr>
        <w:trPr>
          <w:trHeight w:val="300" w:hRule="atLeast"/>
        </w:trPr>
        <w:tc>
          <w:tcPr>
            <w:tcW w:w="4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Indicatore</w:t>
            </w:r>
          </w:p>
        </w:tc>
        <w:tc>
          <w:tcPr>
            <w:tcW w:w="781"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Valore 2021</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Valore 2022</w:t>
            </w:r>
          </w:p>
        </w:tc>
        <w:tc>
          <w:tcPr>
            <w:tcW w:w="1124" w:type="dxa"/>
            <w:tcBorders>
              <w:top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Valutazione 2022</w:t>
            </w:r>
          </w:p>
        </w:tc>
        <w:tc>
          <w:tcPr>
            <w:tcW w:w="585"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Δ (%)</w:t>
            </w:r>
          </w:p>
        </w:tc>
        <w:tc>
          <w:tcPr>
            <w:tcW w:w="508"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Δ CV</w:t>
            </w:r>
          </w:p>
        </w:tc>
        <w:tc>
          <w:tcPr>
            <w:tcW w:w="127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8"/>
                <w:szCs w:val="18"/>
              </w:rPr>
            </w:pPr>
            <w:r>
              <w:rPr>
                <w:rFonts w:cs="Calibri" w:ascii="Calibri" w:hAnsi="Calibri" w:asciiTheme="minorHAnsi" w:cstheme="minorHAnsi" w:hAnsiTheme="minorHAnsi"/>
                <w:b/>
                <w:bCs/>
                <w:color w:val="000000"/>
                <w:sz w:val="18"/>
                <w:szCs w:val="18"/>
              </w:rPr>
              <w:t>Variabilità</w:t>
            </w:r>
          </w:p>
        </w:tc>
      </w:tr>
      <w:tr>
        <w:trPr>
          <w:trHeight w:val="300" w:hRule="atLeast"/>
        </w:trPr>
        <w:tc>
          <w:tcPr>
            <w:tcW w:w="4953"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C8D.1.2 Rapporto tra tassi di ospedalizzazione std per diabete, scompenso e BPCO per titolo di studio</w:t>
            </w:r>
          </w:p>
        </w:tc>
        <w:tc>
          <w:tcPr>
            <w:tcW w:w="78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0,91</w:t>
            </w:r>
          </w:p>
        </w:tc>
        <w:tc>
          <w:tcPr>
            <w:tcW w:w="72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0,75</w:t>
            </w:r>
          </w:p>
        </w:tc>
        <w:tc>
          <w:tcPr>
            <w:tcW w:w="1124" w:type="dxa"/>
            <w:tcBorders>
              <w:bottom w:val="single" w:sz="4" w:space="0" w:color="000000"/>
              <w:right w:val="single" w:sz="4" w:space="0" w:color="000000"/>
            </w:tcBorders>
            <w:shd w:color="auto" w:fill="00B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w:t>
            </w:r>
          </w:p>
        </w:tc>
        <w:tc>
          <w:tcPr>
            <w:tcW w:w="58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17,42</w:t>
            </w:r>
          </w:p>
        </w:tc>
        <w:tc>
          <w:tcPr>
            <w:tcW w:w="50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-0,7</w:t>
            </w:r>
          </w:p>
        </w:tc>
        <w:tc>
          <w:tcPr>
            <w:tcW w:w="1276" w:type="dxa"/>
            <w:tcBorders>
              <w:top w:val="single" w:sz="4" w:space="0" w:color="000000"/>
              <w:left w:val="single" w:sz="4" w:space="0" w:color="000000"/>
              <w:bottom w:val="single" w:sz="4" w:space="0" w:color="000000"/>
              <w:right w:val="single" w:sz="4" w:space="0" w:color="000000"/>
            </w:tcBorders>
            <w:shd w:color="auto" w:fill="00B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r>
        <w:trPr>
          <w:trHeight w:val="300" w:hRule="atLeast"/>
        </w:trPr>
        <w:tc>
          <w:tcPr>
            <w:tcW w:w="4953"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C9.19.1 Consumo di Adrenergici ed altri farmaci per le sindromi ostruttive delle vie respiratorie</w:t>
            </w:r>
          </w:p>
        </w:tc>
        <w:tc>
          <w:tcPr>
            <w:tcW w:w="78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70,99</w:t>
            </w:r>
          </w:p>
        </w:tc>
        <w:tc>
          <w:tcPr>
            <w:tcW w:w="72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68,30</w:t>
            </w:r>
          </w:p>
        </w:tc>
        <w:tc>
          <w:tcPr>
            <w:tcW w:w="1124" w:type="dxa"/>
            <w:tcBorders>
              <w:bottom w:val="single" w:sz="4" w:space="0" w:color="000000"/>
              <w:right w:val="single" w:sz="4" w:space="0" w:color="000000"/>
            </w:tcBorders>
            <w:shd w:color="auto" w:fill="C0000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w:t>
            </w:r>
          </w:p>
        </w:tc>
        <w:tc>
          <w:tcPr>
            <w:tcW w:w="58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3,66</w:t>
            </w:r>
          </w:p>
        </w:tc>
        <w:tc>
          <w:tcPr>
            <w:tcW w:w="50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-0,08</w:t>
            </w:r>
          </w:p>
        </w:tc>
        <w:tc>
          <w:tcPr>
            <w:tcW w:w="1276" w:type="dxa"/>
            <w:tcBorders>
              <w:top w:val="single" w:sz="4" w:space="0" w:color="000000"/>
              <w:left w:val="single" w:sz="4" w:space="0" w:color="000000"/>
              <w:bottom w:val="single" w:sz="4" w:space="0" w:color="000000"/>
              <w:right w:val="single" w:sz="4" w:space="0" w:color="000000"/>
            </w:tcBorders>
            <w:shd w:color="auto" w:fill="00B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r>
        <w:trPr>
          <w:trHeight w:val="300" w:hRule="atLeast"/>
        </w:trPr>
        <w:tc>
          <w:tcPr>
            <w:tcW w:w="4953"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C9.2 Percentuale di abbandono di pazienti in terapia con statine (Ipolipemizzanti)</w:t>
            </w:r>
          </w:p>
        </w:tc>
        <w:tc>
          <w:tcPr>
            <w:tcW w:w="78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11,35</w:t>
            </w:r>
          </w:p>
        </w:tc>
        <w:tc>
          <w:tcPr>
            <w:tcW w:w="72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11,94</w:t>
            </w:r>
          </w:p>
        </w:tc>
        <w:tc>
          <w:tcPr>
            <w:tcW w:w="1124" w:type="dxa"/>
            <w:tcBorders>
              <w:bottom w:val="single" w:sz="4" w:space="0" w:color="000000"/>
              <w:right w:val="single" w:sz="4" w:space="0" w:color="000000"/>
            </w:tcBorders>
            <w:shd w:color="auto" w:fill="FFC00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1,64</w:t>
            </w:r>
          </w:p>
        </w:tc>
        <w:tc>
          <w:tcPr>
            <w:tcW w:w="58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-5,16</w:t>
            </w:r>
          </w:p>
        </w:tc>
        <w:tc>
          <w:tcPr>
            <w:tcW w:w="50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-0,11</w:t>
            </w:r>
          </w:p>
        </w:tc>
        <w:tc>
          <w:tcPr>
            <w:tcW w:w="1276" w:type="dxa"/>
            <w:tcBorders>
              <w:top w:val="single" w:sz="4" w:space="0" w:color="000000"/>
              <w:left w:val="single" w:sz="4" w:space="0" w:color="000000"/>
              <w:bottom w:val="single" w:sz="4" w:space="0" w:color="000000"/>
              <w:right w:val="single" w:sz="4" w:space="0" w:color="000000"/>
            </w:tcBorders>
            <w:shd w:color="auto" w:fill="C0000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r>
        <w:trPr>
          <w:trHeight w:val="300" w:hRule="atLeast"/>
        </w:trPr>
        <w:tc>
          <w:tcPr>
            <w:tcW w:w="4953"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C9.6.1.1 Iperprescrizione di statine</w:t>
            </w:r>
          </w:p>
        </w:tc>
        <w:tc>
          <w:tcPr>
            <w:tcW w:w="78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2,61</w:t>
            </w:r>
          </w:p>
        </w:tc>
        <w:tc>
          <w:tcPr>
            <w:tcW w:w="72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2,5</w:t>
            </w:r>
          </w:p>
        </w:tc>
        <w:tc>
          <w:tcPr>
            <w:tcW w:w="1124" w:type="dxa"/>
            <w:tcBorders>
              <w:bottom w:val="single" w:sz="4" w:space="0" w:color="000000"/>
              <w:right w:val="single" w:sz="4" w:space="0" w:color="000000"/>
            </w:tcBorders>
            <w:shd w:color="auto" w:fill="00B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4,5</w:t>
            </w:r>
          </w:p>
        </w:tc>
        <w:tc>
          <w:tcPr>
            <w:tcW w:w="58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4,22</w:t>
            </w:r>
          </w:p>
        </w:tc>
        <w:tc>
          <w:tcPr>
            <w:tcW w:w="50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-0,21</w:t>
            </w:r>
          </w:p>
        </w:tc>
        <w:tc>
          <w:tcPr>
            <w:tcW w:w="1276" w:type="dxa"/>
            <w:tcBorders>
              <w:top w:val="single" w:sz="4" w:space="0" w:color="000000"/>
              <w:left w:val="single" w:sz="4" w:space="0" w:color="000000"/>
              <w:bottom w:val="single" w:sz="4" w:space="0" w:color="000000"/>
              <w:right w:val="single" w:sz="4" w:space="0" w:color="000000"/>
            </w:tcBorders>
            <w:shd w:color="auto" w:fill="00B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r>
        <w:trPr>
          <w:trHeight w:val="300" w:hRule="atLeast"/>
        </w:trPr>
        <w:tc>
          <w:tcPr>
            <w:tcW w:w="4953"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C9.6.1.2 Percentuale pazienti aderenti alla terapia con statine sul territorio</w:t>
            </w:r>
          </w:p>
        </w:tc>
        <w:tc>
          <w:tcPr>
            <w:tcW w:w="78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51,47</w:t>
            </w:r>
          </w:p>
        </w:tc>
        <w:tc>
          <w:tcPr>
            <w:tcW w:w="72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50,04</w:t>
            </w:r>
          </w:p>
        </w:tc>
        <w:tc>
          <w:tcPr>
            <w:tcW w:w="1124" w:type="dxa"/>
            <w:tcBorders>
              <w:bottom w:val="single" w:sz="4" w:space="0" w:color="000000"/>
              <w:right w:val="single" w:sz="4" w:space="0" w:color="000000"/>
            </w:tcBorders>
            <w:shd w:color="auto" w:fill="FFFF0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w:t>
            </w:r>
          </w:p>
        </w:tc>
        <w:tc>
          <w:tcPr>
            <w:tcW w:w="58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-2,78</w:t>
            </w:r>
          </w:p>
        </w:tc>
        <w:tc>
          <w:tcPr>
            <w:tcW w:w="50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-0,03</w:t>
            </w:r>
          </w:p>
        </w:tc>
        <w:tc>
          <w:tcPr>
            <w:tcW w:w="1276" w:type="dxa"/>
            <w:tcBorders>
              <w:top w:val="single" w:sz="4" w:space="0" w:color="000000"/>
              <w:left w:val="single" w:sz="4" w:space="0" w:color="000000"/>
              <w:bottom w:val="single" w:sz="4" w:space="0" w:color="000000"/>
              <w:right w:val="single" w:sz="4" w:space="0" w:color="000000"/>
            </w:tcBorders>
            <w:shd w:color="auto" w:fill="C0000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r>
        <w:trPr>
          <w:trHeight w:val="300" w:hRule="atLeast"/>
        </w:trPr>
        <w:tc>
          <w:tcPr>
            <w:tcW w:w="4953"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C9.8.1.1.1 Consumo di antibiotici in età pediatrica</w:t>
            </w:r>
          </w:p>
        </w:tc>
        <w:tc>
          <w:tcPr>
            <w:tcW w:w="78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5,07</w:t>
            </w:r>
          </w:p>
        </w:tc>
        <w:tc>
          <w:tcPr>
            <w:tcW w:w="72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8,42</w:t>
            </w:r>
          </w:p>
        </w:tc>
        <w:tc>
          <w:tcPr>
            <w:tcW w:w="1124" w:type="dxa"/>
            <w:tcBorders>
              <w:bottom w:val="single" w:sz="4" w:space="0" w:color="000000"/>
              <w:right w:val="single" w:sz="4" w:space="0" w:color="000000"/>
            </w:tcBorders>
            <w:shd w:color="auto" w:fill="00B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w:t>
            </w:r>
          </w:p>
        </w:tc>
        <w:tc>
          <w:tcPr>
            <w:tcW w:w="58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-65,98</w:t>
            </w:r>
          </w:p>
        </w:tc>
        <w:tc>
          <w:tcPr>
            <w:tcW w:w="50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-0,32</w:t>
            </w:r>
          </w:p>
        </w:tc>
        <w:tc>
          <w:tcPr>
            <w:tcW w:w="1276" w:type="dxa"/>
            <w:tcBorders>
              <w:top w:val="single" w:sz="4" w:space="0" w:color="000000"/>
              <w:left w:val="single" w:sz="4" w:space="0" w:color="000000"/>
              <w:bottom w:val="single" w:sz="4" w:space="0" w:color="000000"/>
              <w:right w:val="single" w:sz="4" w:space="0" w:color="000000"/>
            </w:tcBorders>
            <w:shd w:color="auto" w:fill="C0000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r>
        <w:trPr>
          <w:trHeight w:val="300" w:hRule="atLeast"/>
        </w:trPr>
        <w:tc>
          <w:tcPr>
            <w:tcW w:w="4953"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C9.8.1.1.2 Consumo di cefalosporine in età pediatrica</w:t>
            </w:r>
          </w:p>
        </w:tc>
        <w:tc>
          <w:tcPr>
            <w:tcW w:w="78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0,57</w:t>
            </w:r>
          </w:p>
        </w:tc>
        <w:tc>
          <w:tcPr>
            <w:tcW w:w="72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0,88</w:t>
            </w:r>
          </w:p>
        </w:tc>
        <w:tc>
          <w:tcPr>
            <w:tcW w:w="1124" w:type="dxa"/>
            <w:tcBorders>
              <w:bottom w:val="single" w:sz="4" w:space="0" w:color="000000"/>
              <w:right w:val="single" w:sz="4" w:space="0" w:color="000000"/>
            </w:tcBorders>
            <w:shd w:color="auto" w:fill="00B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4,03</w:t>
            </w:r>
          </w:p>
        </w:tc>
        <w:tc>
          <w:tcPr>
            <w:tcW w:w="58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-54,13</w:t>
            </w:r>
          </w:p>
        </w:tc>
        <w:tc>
          <w:tcPr>
            <w:tcW w:w="50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-0,21</w:t>
            </w:r>
          </w:p>
        </w:tc>
        <w:tc>
          <w:tcPr>
            <w:tcW w:w="1276" w:type="dxa"/>
            <w:tcBorders>
              <w:top w:val="single" w:sz="4" w:space="0" w:color="000000"/>
              <w:left w:val="single" w:sz="4" w:space="0" w:color="000000"/>
              <w:bottom w:val="single" w:sz="4" w:space="0" w:color="000000"/>
              <w:right w:val="single" w:sz="4" w:space="0" w:color="000000"/>
            </w:tcBorders>
            <w:shd w:color="auto" w:fill="C0000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r>
        <w:trPr>
          <w:trHeight w:val="300" w:hRule="atLeast"/>
        </w:trPr>
        <w:tc>
          <w:tcPr>
            <w:tcW w:w="4953"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C9.8.1.1A Consumo di fluorochinoloni sul territorio (sorveglianza antimicrobico-resistenza)</w:t>
            </w:r>
          </w:p>
        </w:tc>
        <w:tc>
          <w:tcPr>
            <w:tcW w:w="78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0,78</w:t>
            </w:r>
          </w:p>
        </w:tc>
        <w:tc>
          <w:tcPr>
            <w:tcW w:w="72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0,83</w:t>
            </w:r>
          </w:p>
        </w:tc>
        <w:tc>
          <w:tcPr>
            <w:tcW w:w="1124" w:type="dxa"/>
            <w:tcBorders>
              <w:bottom w:val="single" w:sz="4" w:space="0" w:color="000000"/>
              <w:right w:val="single" w:sz="4" w:space="0" w:color="000000"/>
            </w:tcBorders>
            <w:shd w:color="auto" w:fill="00B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4,17</w:t>
            </w:r>
          </w:p>
        </w:tc>
        <w:tc>
          <w:tcPr>
            <w:tcW w:w="58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-5,63</w:t>
            </w:r>
          </w:p>
        </w:tc>
        <w:tc>
          <w:tcPr>
            <w:tcW w:w="50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-0,08</w:t>
            </w:r>
          </w:p>
        </w:tc>
        <w:tc>
          <w:tcPr>
            <w:tcW w:w="1276" w:type="dxa"/>
            <w:tcBorders>
              <w:top w:val="single" w:sz="4" w:space="0" w:color="000000"/>
              <w:left w:val="single" w:sz="4" w:space="0" w:color="000000"/>
              <w:bottom w:val="single" w:sz="4" w:space="0" w:color="000000"/>
              <w:right w:val="single" w:sz="4" w:space="0" w:color="000000"/>
            </w:tcBorders>
            <w:shd w:color="auto" w:fill="C0000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r>
        <w:trPr>
          <w:trHeight w:val="300" w:hRule="atLeast"/>
        </w:trPr>
        <w:tc>
          <w:tcPr>
            <w:tcW w:w="4953"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C9.8.1.2 Incidenza degli antibiotici iniettabili sul territorio</w:t>
            </w:r>
          </w:p>
        </w:tc>
        <w:tc>
          <w:tcPr>
            <w:tcW w:w="78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1,86</w:t>
            </w:r>
          </w:p>
        </w:tc>
        <w:tc>
          <w:tcPr>
            <w:tcW w:w="72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1,78</w:t>
            </w:r>
          </w:p>
        </w:tc>
        <w:tc>
          <w:tcPr>
            <w:tcW w:w="1124" w:type="dxa"/>
            <w:tcBorders>
              <w:bottom w:val="single" w:sz="4" w:space="0" w:color="000000"/>
              <w:right w:val="single" w:sz="4" w:space="0" w:color="000000"/>
            </w:tcBorders>
            <w:shd w:color="auto" w:fill="FFFF0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2,04</w:t>
            </w:r>
          </w:p>
        </w:tc>
        <w:tc>
          <w:tcPr>
            <w:tcW w:w="58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4,25</w:t>
            </w:r>
          </w:p>
        </w:tc>
        <w:tc>
          <w:tcPr>
            <w:tcW w:w="50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0,12</w:t>
            </w:r>
          </w:p>
        </w:tc>
        <w:tc>
          <w:tcPr>
            <w:tcW w:w="1276" w:type="dxa"/>
            <w:tcBorders>
              <w:top w:val="single" w:sz="4" w:space="0" w:color="000000"/>
              <w:left w:val="single" w:sz="4" w:space="0" w:color="000000"/>
              <w:bottom w:val="single" w:sz="4" w:space="0" w:color="000000"/>
              <w:right w:val="single" w:sz="4" w:space="0" w:color="000000"/>
            </w:tcBorders>
            <w:shd w:color="auto" w:fill="92D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 xml:space="preserve">Buona </w:t>
            </w:r>
          </w:p>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Strada</w:t>
            </w:r>
          </w:p>
        </w:tc>
      </w:tr>
      <w:tr>
        <w:trPr>
          <w:trHeight w:val="300" w:hRule="atLeast"/>
        </w:trPr>
        <w:tc>
          <w:tcPr>
            <w:tcW w:w="4953"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C9.9.1.1 Percentuale di abbandono di pazienti in terapia con antidepressivi</w:t>
            </w:r>
          </w:p>
        </w:tc>
        <w:tc>
          <w:tcPr>
            <w:tcW w:w="781"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19,96</w:t>
            </w:r>
          </w:p>
        </w:tc>
        <w:tc>
          <w:tcPr>
            <w:tcW w:w="727"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19,72</w:t>
            </w:r>
          </w:p>
        </w:tc>
        <w:tc>
          <w:tcPr>
            <w:tcW w:w="1124" w:type="dxa"/>
            <w:tcBorders>
              <w:bottom w:val="single" w:sz="4" w:space="0" w:color="000000"/>
              <w:right w:val="single" w:sz="4" w:space="0" w:color="000000"/>
            </w:tcBorders>
            <w:shd w:color="auto" w:fill="92D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3,59</w:t>
            </w:r>
          </w:p>
        </w:tc>
        <w:tc>
          <w:tcPr>
            <w:tcW w:w="58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1,21</w:t>
            </w:r>
          </w:p>
        </w:tc>
        <w:tc>
          <w:tcPr>
            <w:tcW w:w="50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w:t>
            </w:r>
          </w:p>
        </w:tc>
        <w:tc>
          <w:tcPr>
            <w:tcW w:w="1276" w:type="dxa"/>
            <w:tcBorders>
              <w:top w:val="single" w:sz="4" w:space="0" w:color="000000"/>
              <w:left w:val="single" w:sz="4" w:space="0" w:color="000000"/>
              <w:bottom w:val="single" w:sz="4" w:space="0" w:color="000000"/>
              <w:right w:val="single" w:sz="4" w:space="0" w:color="000000"/>
            </w:tcBorders>
            <w:shd w:color="auto" w:fill="92D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 xml:space="preserve">Buona </w:t>
            </w:r>
          </w:p>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Strada</w:t>
            </w:r>
          </w:p>
        </w:tc>
      </w:tr>
    </w:tbl>
    <w:p>
      <w:pPr>
        <w:pStyle w:val="Normal"/>
        <w:spacing w:lineRule="atLeast" w:line="320" w:before="0" w:after="120"/>
        <w:rPr>
          <w:rFonts w:ascii="Calibri" w:hAnsi="Calibri" w:cs="Calibri"/>
          <w:sz w:val="22"/>
          <w:szCs w:val="22"/>
        </w:rPr>
      </w:pPr>
      <w:r>
        <w:rPr>
          <w:rFonts w:cs="Calibri" w:ascii="Calibri" w:hAnsi="Calibri"/>
          <w:sz w:val="22"/>
          <w:szCs w:val="22"/>
        </w:rPr>
      </w:r>
    </w:p>
    <w:p>
      <w:pPr>
        <w:pStyle w:val="Normal"/>
        <w:spacing w:lineRule="atLeast" w:line="320" w:before="0" w:after="120"/>
        <w:jc w:val="both"/>
        <w:rPr>
          <w:rFonts w:ascii="Calibri" w:hAnsi="Calibri" w:cs="Calibri"/>
          <w:sz w:val="22"/>
          <w:szCs w:val="22"/>
        </w:rPr>
      </w:pPr>
      <w:r>
        <w:rPr>
          <w:rFonts w:cs="Calibri" w:ascii="Calibri" w:hAnsi="Calibri"/>
          <w:sz w:val="22"/>
          <w:szCs w:val="22"/>
        </w:rPr>
        <w:t>L’appropriatezza nell’uso dei farmaci e la compliance nella loro corretta assunzione presenta ancora variabilità tra le diverse zone. Si conferma la performance non positiva per il consumo di adrenergici ed altri farmaci per le sindromi ostruttive delle vie respiratorie; non subisce variazione l’aderenza alla terapia ipolipemizzante mantenendosi su valori ancora non ottimali. Sempre buona l’appropriatezza sull’uso degli antibiotici anche se si evidenzia un calo di attenzione nella loro prescrizione.</w:t>
      </w:r>
    </w:p>
    <w:p>
      <w:pPr>
        <w:pStyle w:val="Normal"/>
        <w:spacing w:lineRule="atLeast" w:line="320" w:before="0" w:after="120"/>
        <w:rPr>
          <w:rFonts w:ascii="Calibri" w:hAnsi="Calibri" w:cs="Calibri"/>
          <w:b/>
          <w:b/>
          <w:bCs/>
          <w:sz w:val="22"/>
          <w:szCs w:val="22"/>
        </w:rPr>
      </w:pPr>
      <w:r>
        <w:rPr>
          <w:rFonts w:cs="Calibri" w:ascii="Calibri" w:hAnsi="Calibri"/>
          <w:b/>
          <w:bCs/>
          <w:sz w:val="22"/>
          <w:szCs w:val="22"/>
        </w:rPr>
      </w:r>
    </w:p>
    <w:p>
      <w:pPr>
        <w:pStyle w:val="Titolo2"/>
        <w:spacing w:lineRule="atLeast" w:line="320" w:before="0" w:after="120"/>
        <w:jc w:val="both"/>
        <w:rPr>
          <w:rFonts w:ascii="Calibri" w:hAnsi="Calibri" w:cs="Calibri"/>
          <w:i w:val="false"/>
          <w:i w:val="false"/>
          <w:iCs w:val="false"/>
          <w:sz w:val="22"/>
          <w:szCs w:val="22"/>
        </w:rPr>
      </w:pPr>
      <w:bookmarkStart w:id="24" w:name="_Toc152228346"/>
      <w:r>
        <w:rPr>
          <w:rFonts w:cs="Calibri" w:ascii="Calibri" w:hAnsi="Calibri"/>
          <w:i w:val="false"/>
          <w:iCs w:val="false"/>
          <w:sz w:val="22"/>
          <w:szCs w:val="22"/>
        </w:rPr>
        <w:t>2.4.2 CONTINUITÀ OSPEDALE-TERRITORIO</w:t>
      </w:r>
      <w:bookmarkEnd w:id="24"/>
      <w:r>
        <w:rPr>
          <w:rFonts w:cs="Calibri" w:ascii="Calibri" w:hAnsi="Calibri"/>
          <w:i w:val="false"/>
          <w:iCs w:val="false"/>
          <w:sz w:val="22"/>
          <w:szCs w:val="22"/>
        </w:rPr>
        <w:t xml:space="preserve"> </w:t>
      </w:r>
    </w:p>
    <w:p>
      <w:pPr>
        <w:pStyle w:val="Normal"/>
        <w:spacing w:lineRule="auto" w:line="360"/>
        <w:jc w:val="both"/>
        <w:rPr>
          <w:rFonts w:ascii="Calibri" w:hAnsi="Calibri" w:eastAsia="Calibri" w:cs="Calibri"/>
          <w:sz w:val="22"/>
          <w:szCs w:val="22"/>
        </w:rPr>
      </w:pPr>
      <w:r>
        <w:rPr>
          <w:rFonts w:eastAsia="Calibri" w:cs="Calibri" w:ascii="Calibri" w:hAnsi="Calibri"/>
          <w:sz w:val="22"/>
          <w:szCs w:val="22"/>
        </w:rPr>
        <w:t>Il modello organizzativo della AUSL Toscana Centro prevede che i percorsi/risorse della continuità ospedale territorio siano gestiti su 2 livelli:</w:t>
      </w:r>
    </w:p>
    <w:p>
      <w:pPr>
        <w:pStyle w:val="Normal"/>
        <w:numPr>
          <w:ilvl w:val="0"/>
          <w:numId w:val="13"/>
        </w:numPr>
        <w:spacing w:lineRule="auto" w:line="360"/>
        <w:jc w:val="both"/>
        <w:rPr>
          <w:rFonts w:ascii="Calibri" w:hAnsi="Calibri" w:eastAsia="Calibri" w:cs="Calibri"/>
          <w:sz w:val="22"/>
          <w:szCs w:val="22"/>
        </w:rPr>
      </w:pPr>
      <w:r>
        <w:rPr>
          <w:rFonts w:eastAsia="Calibri" w:cs="Calibri" w:ascii="Calibri" w:hAnsi="Calibri"/>
          <w:sz w:val="22"/>
          <w:szCs w:val="22"/>
        </w:rPr>
        <w:t>Livello zonale rappresentato dalle Agenzie di Continuità Ospedale Territorio (ACOT) che gestiscono tutti i percorsi e le risorse di competenza zonale (prestazioni domiciliari e ambulatoriali, percorsi sociosanitari, ecc.)</w:t>
      </w:r>
    </w:p>
    <w:p>
      <w:pPr>
        <w:pStyle w:val="Normal"/>
        <w:numPr>
          <w:ilvl w:val="0"/>
          <w:numId w:val="13"/>
        </w:numPr>
        <w:spacing w:lineRule="auto" w:line="360"/>
        <w:jc w:val="both"/>
        <w:rPr>
          <w:rFonts w:ascii="Calibri" w:hAnsi="Calibri" w:eastAsia="Calibri" w:cs="Calibri"/>
          <w:sz w:val="22"/>
          <w:szCs w:val="22"/>
        </w:rPr>
      </w:pPr>
      <w:r>
        <w:rPr>
          <w:rFonts w:eastAsia="Calibri" w:cs="Calibri" w:ascii="Calibri" w:hAnsi="Calibri"/>
          <w:sz w:val="22"/>
          <w:szCs w:val="22"/>
        </w:rPr>
        <w:t xml:space="preserve">Livello aziendale rappresentato dal CDCA (Coordinamento dimissioni complesse aziendale) che gestisce tutti i percorsi centralizzati (risorse residenziali post-acuzie nelle strutture private convenzionate sotto il governo della Direzione Aziendale, risorse di cure intermedie in alcune strutture aziendali, percorsi di riabilitazione cod 75, cod 56 ed ex art. 26, percorsi di continuità di alta complessità come le Gravi Cerebrolesioni Acquisite, ecc.) </w:t>
      </w:r>
    </w:p>
    <w:p>
      <w:pPr>
        <w:pStyle w:val="Normal"/>
        <w:spacing w:lineRule="auto" w:line="360"/>
        <w:jc w:val="both"/>
        <w:rPr>
          <w:rFonts w:ascii="Calibri" w:hAnsi="Calibri" w:eastAsia="Calibri" w:cs="Calibri"/>
          <w:sz w:val="22"/>
          <w:szCs w:val="22"/>
        </w:rPr>
      </w:pPr>
      <w:r>
        <w:rPr>
          <w:rFonts w:eastAsia="Calibri" w:cs="Calibri" w:ascii="Calibri" w:hAnsi="Calibri"/>
          <w:sz w:val="22"/>
          <w:szCs w:val="22"/>
        </w:rPr>
        <w:t>Tale organizzazione permette di ottimizzare l’uso delle risorse, garantire risposte di prossimità e allo stesso tempo equità di accesso per tutti gli assistiti della AUSL Toscana Centro superando la disomogenea distribuzione di alcune risorse correlata alla complessità organizzativa del territorio.</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 xml:space="preserve">Nel 2022, ACOT e i CDCA sono stati coinvolti nella valutazione, organizzazione e coordinamento dei percorsi relativi alle dimissioni complesse e di continuità, prendendo in carico le persone segnalate da parte di setting di cura differenti (reparti per acuti, cure intermedie, territorio etc.). Durante il periodo pandemico e di maggior pressione sulle strutture ospedaliere sono state prioritariamente evase le richieste provenienti dai presidi ospedalieri per decongestionare i setting per acuti. </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 xml:space="preserve">I percorsi attivabili dalle ACOT e disponibili sul territorio aziendale sono di diverso genere, le cui proposte ed attivazioni dipendono dalla valutazione multi professionale dell’equipe, a seconda della situazione sanitaria e sociale della persona. Il paniere prevede l’offerta di servizi e interventi di tipo domiciliare, preferibili quando adeguati e attuabili, oltre che residenziali. </w:t>
      </w:r>
    </w:p>
    <w:p>
      <w:pPr>
        <w:pStyle w:val="Default"/>
        <w:jc w:val="both"/>
        <w:rPr>
          <w:rFonts w:ascii="Calibri" w:hAnsi="Calibri" w:cs="Calibri"/>
          <w:color w:val="auto"/>
          <w:sz w:val="22"/>
          <w:szCs w:val="22"/>
        </w:rPr>
      </w:pPr>
      <w:r>
        <w:rPr>
          <w:rFonts w:cs="Calibri" w:ascii="Calibri" w:hAnsi="Calibri"/>
          <w:color w:val="auto"/>
          <w:sz w:val="22"/>
          <w:szCs w:val="22"/>
        </w:rPr>
      </w:r>
    </w:p>
    <w:p>
      <w:pPr>
        <w:pStyle w:val="Default"/>
        <w:spacing w:lineRule="atLeast" w:line="320"/>
        <w:jc w:val="both"/>
        <w:rPr>
          <w:rFonts w:ascii="Calibri" w:hAnsi="Calibri" w:cs="Calibri" w:asciiTheme="minorHAnsi" w:cstheme="minorHAnsi" w:hAnsiTheme="minorHAnsi"/>
          <w:color w:val="auto"/>
          <w:sz w:val="22"/>
          <w:szCs w:val="22"/>
        </w:rPr>
      </w:pPr>
      <w:r>
        <w:rPr>
          <w:rFonts w:cs="Calibri" w:ascii="Calibri" w:hAnsi="Calibri" w:asciiTheme="minorHAnsi" w:cstheme="minorHAnsi" w:hAnsiTheme="minorHAnsi"/>
          <w:color w:val="auto"/>
          <w:sz w:val="22"/>
          <w:szCs w:val="22"/>
        </w:rPr>
        <w:t xml:space="preserve">Tra i primi si annoverano: </w:t>
      </w:r>
    </w:p>
    <w:p>
      <w:pPr>
        <w:pStyle w:val="Default"/>
        <w:numPr>
          <w:ilvl w:val="0"/>
          <w:numId w:val="16"/>
        </w:numPr>
        <w:spacing w:lineRule="atLeast" w:line="320"/>
        <w:ind w:left="714" w:hanging="357"/>
        <w:jc w:val="both"/>
        <w:rPr>
          <w:rFonts w:ascii="Calibri" w:hAnsi="Calibri" w:cs="Calibri" w:asciiTheme="minorHAnsi" w:cstheme="minorHAnsi" w:hAnsiTheme="minorHAnsi"/>
          <w:color w:val="auto"/>
          <w:sz w:val="22"/>
          <w:szCs w:val="22"/>
        </w:rPr>
      </w:pPr>
      <w:r>
        <w:rPr>
          <w:rFonts w:cs="Calibri" w:ascii="Calibri" w:hAnsi="Calibri" w:asciiTheme="minorHAnsi" w:cstheme="minorHAnsi" w:hAnsiTheme="minorHAnsi"/>
          <w:color w:val="auto"/>
          <w:sz w:val="22"/>
          <w:szCs w:val="22"/>
        </w:rPr>
        <w:t>Attivazione del servizio infermieristico domiciliare;</w:t>
      </w:r>
    </w:p>
    <w:p>
      <w:pPr>
        <w:pStyle w:val="Default"/>
        <w:numPr>
          <w:ilvl w:val="0"/>
          <w:numId w:val="16"/>
        </w:numPr>
        <w:spacing w:lineRule="atLeast" w:line="320"/>
        <w:ind w:left="714" w:hanging="357"/>
        <w:jc w:val="both"/>
        <w:rPr>
          <w:rFonts w:ascii="Calibri" w:hAnsi="Calibri" w:cs="Calibri" w:asciiTheme="minorHAnsi" w:cstheme="minorHAnsi" w:hAnsiTheme="minorHAnsi"/>
          <w:color w:val="auto"/>
          <w:sz w:val="22"/>
          <w:szCs w:val="22"/>
        </w:rPr>
      </w:pPr>
      <w:r>
        <w:rPr>
          <w:rFonts w:cs="Calibri" w:ascii="Calibri" w:hAnsi="Calibri" w:asciiTheme="minorHAnsi" w:cstheme="minorHAnsi" w:hAnsiTheme="minorHAnsi"/>
          <w:color w:val="auto"/>
          <w:sz w:val="22"/>
          <w:szCs w:val="22"/>
        </w:rPr>
        <w:t>Segnalazione al servizio e rete delle cure palliative;</w:t>
      </w:r>
    </w:p>
    <w:p>
      <w:pPr>
        <w:pStyle w:val="Default"/>
        <w:numPr>
          <w:ilvl w:val="0"/>
          <w:numId w:val="16"/>
        </w:numPr>
        <w:spacing w:lineRule="atLeast" w:line="320"/>
        <w:ind w:left="714" w:hanging="357"/>
        <w:jc w:val="both"/>
        <w:rPr>
          <w:rFonts w:ascii="Calibri" w:hAnsi="Calibri" w:cs="Calibri" w:asciiTheme="minorHAnsi" w:cstheme="minorHAnsi" w:hAnsiTheme="minorHAnsi"/>
          <w:color w:val="auto"/>
          <w:sz w:val="22"/>
          <w:szCs w:val="22"/>
        </w:rPr>
      </w:pPr>
      <w:r>
        <w:rPr>
          <w:rFonts w:cs="Calibri" w:ascii="Calibri" w:hAnsi="Calibri" w:asciiTheme="minorHAnsi" w:cstheme="minorHAnsi" w:hAnsiTheme="minorHAnsi"/>
          <w:color w:val="auto"/>
          <w:sz w:val="22"/>
          <w:szCs w:val="22"/>
        </w:rPr>
        <w:t>Attivazione del servizio di assistenza domiciliare tutelare o sociosanitaria con interventi da parte di    operatori OSS;</w:t>
      </w:r>
    </w:p>
    <w:p>
      <w:pPr>
        <w:pStyle w:val="Default"/>
        <w:numPr>
          <w:ilvl w:val="0"/>
          <w:numId w:val="16"/>
        </w:numPr>
        <w:spacing w:lineRule="atLeast" w:line="320"/>
        <w:ind w:left="714" w:hanging="357"/>
        <w:jc w:val="both"/>
        <w:rPr>
          <w:rFonts w:ascii="Calibri" w:hAnsi="Calibri" w:cs="Calibri" w:asciiTheme="minorHAnsi" w:cstheme="minorHAnsi" w:hAnsiTheme="minorHAnsi"/>
          <w:color w:val="auto"/>
          <w:sz w:val="22"/>
          <w:szCs w:val="22"/>
        </w:rPr>
      </w:pPr>
      <w:r>
        <w:rPr>
          <w:rFonts w:cs="Calibri" w:ascii="Calibri" w:hAnsi="Calibri" w:asciiTheme="minorHAnsi" w:cstheme="minorHAnsi" w:hAnsiTheme="minorHAnsi"/>
          <w:color w:val="auto"/>
          <w:sz w:val="22"/>
          <w:szCs w:val="22"/>
        </w:rPr>
        <w:t>Segnalazione e continuità con i servizi sociali territoriali;</w:t>
      </w:r>
    </w:p>
    <w:p>
      <w:pPr>
        <w:pStyle w:val="Default"/>
        <w:numPr>
          <w:ilvl w:val="0"/>
          <w:numId w:val="16"/>
        </w:numPr>
        <w:spacing w:lineRule="atLeast" w:line="320"/>
        <w:ind w:left="714" w:hanging="357"/>
        <w:jc w:val="both"/>
        <w:rPr>
          <w:rFonts w:ascii="Calibri" w:hAnsi="Calibri" w:cs="Calibri" w:asciiTheme="minorHAnsi" w:cstheme="minorHAnsi" w:hAnsiTheme="minorHAnsi"/>
          <w:color w:val="auto"/>
          <w:sz w:val="22"/>
          <w:szCs w:val="22"/>
        </w:rPr>
      </w:pPr>
      <w:r>
        <w:rPr>
          <w:rFonts w:cs="Calibri" w:ascii="Calibri" w:hAnsi="Calibri" w:asciiTheme="minorHAnsi" w:cstheme="minorHAnsi" w:hAnsiTheme="minorHAnsi"/>
          <w:color w:val="auto"/>
          <w:sz w:val="22"/>
          <w:szCs w:val="22"/>
        </w:rPr>
        <w:t xml:space="preserve">Terapia con prescrivibilità ospedaliera somministrata a domicilio; </w:t>
      </w:r>
    </w:p>
    <w:p>
      <w:pPr>
        <w:pStyle w:val="Default"/>
        <w:numPr>
          <w:ilvl w:val="0"/>
          <w:numId w:val="16"/>
        </w:numPr>
        <w:spacing w:lineRule="atLeast" w:line="320"/>
        <w:ind w:left="714" w:hanging="357"/>
        <w:jc w:val="both"/>
        <w:rPr>
          <w:rFonts w:ascii="Calibri" w:hAnsi="Calibri" w:cs="Calibri" w:asciiTheme="minorHAnsi" w:cstheme="minorHAnsi" w:hAnsiTheme="minorHAnsi"/>
          <w:color w:val="auto"/>
          <w:sz w:val="22"/>
          <w:szCs w:val="22"/>
        </w:rPr>
      </w:pPr>
      <w:r>
        <w:rPr>
          <w:rFonts w:cs="Calibri" w:ascii="Calibri" w:hAnsi="Calibri" w:asciiTheme="minorHAnsi" w:cstheme="minorHAnsi" w:hAnsiTheme="minorHAnsi"/>
          <w:color w:val="auto"/>
          <w:sz w:val="22"/>
          <w:szCs w:val="22"/>
        </w:rPr>
        <w:t>Pacchetti di prestazioni e servizi sociali/infermieristici/fisioterapeutici finanziati attraverso fondi sociali zonali/europei;</w:t>
      </w:r>
    </w:p>
    <w:p>
      <w:pPr>
        <w:pStyle w:val="Default"/>
        <w:numPr>
          <w:ilvl w:val="0"/>
          <w:numId w:val="16"/>
        </w:numPr>
        <w:spacing w:lineRule="atLeast" w:line="320" w:before="0" w:afterAutospacing="1"/>
        <w:ind w:left="714" w:hanging="357"/>
        <w:jc w:val="both"/>
        <w:rPr>
          <w:rFonts w:ascii="Calibri" w:hAnsi="Calibri" w:cs="Calibri" w:asciiTheme="minorHAnsi" w:cstheme="minorHAnsi" w:hAnsiTheme="minorHAnsi"/>
          <w:color w:val="auto"/>
          <w:sz w:val="22"/>
          <w:szCs w:val="22"/>
        </w:rPr>
      </w:pPr>
      <w:r>
        <w:rPr>
          <w:rFonts w:cs="Calibri" w:ascii="Calibri" w:hAnsi="Calibri" w:asciiTheme="minorHAnsi" w:cstheme="minorHAnsi" w:hAnsiTheme="minorHAnsi"/>
          <w:color w:val="auto"/>
          <w:sz w:val="22"/>
          <w:szCs w:val="22"/>
        </w:rPr>
        <w:t xml:space="preserve">Percorsi di riabilitazione ambulatoriale/domiciliare. </w:t>
      </w:r>
    </w:p>
    <w:p>
      <w:pPr>
        <w:pStyle w:val="Default"/>
        <w:spacing w:lineRule="atLeast" w:line="320"/>
        <w:jc w:val="both"/>
        <w:rPr>
          <w:rFonts w:ascii="Calibri" w:hAnsi="Calibri" w:cs="Calibri" w:asciiTheme="minorHAnsi" w:cstheme="minorHAnsi" w:hAnsiTheme="minorHAnsi"/>
          <w:color w:val="auto"/>
          <w:sz w:val="22"/>
          <w:szCs w:val="22"/>
        </w:rPr>
      </w:pPr>
      <w:r>
        <w:rPr>
          <w:rFonts w:cs="Calibri" w:ascii="Calibri" w:hAnsi="Calibri" w:asciiTheme="minorHAnsi" w:cstheme="minorHAnsi" w:hAnsiTheme="minorHAnsi"/>
          <w:color w:val="auto"/>
          <w:sz w:val="22"/>
          <w:szCs w:val="22"/>
        </w:rPr>
        <w:t>Tra i percorsi residenziali:</w:t>
      </w:r>
    </w:p>
    <w:p>
      <w:pPr>
        <w:pStyle w:val="Default"/>
        <w:numPr>
          <w:ilvl w:val="0"/>
          <w:numId w:val="16"/>
        </w:numPr>
        <w:spacing w:lineRule="atLeast" w:line="320"/>
        <w:ind w:left="714" w:hanging="357"/>
        <w:jc w:val="both"/>
        <w:rPr>
          <w:rFonts w:ascii="Calibri" w:hAnsi="Calibri" w:cs="Calibri" w:asciiTheme="minorHAnsi" w:cstheme="minorHAnsi" w:hAnsiTheme="minorHAnsi"/>
          <w:color w:val="auto"/>
          <w:sz w:val="22"/>
          <w:szCs w:val="22"/>
          <w:lang w:val="en-US"/>
        </w:rPr>
      </w:pPr>
      <w:r>
        <w:rPr>
          <w:rFonts w:cs="Calibri" w:ascii="Calibri" w:hAnsi="Calibri" w:asciiTheme="minorHAnsi" w:cstheme="minorHAnsi" w:hAnsiTheme="minorHAnsi"/>
          <w:color w:val="auto"/>
          <w:sz w:val="22"/>
          <w:szCs w:val="22"/>
          <w:lang w:val="en-US"/>
        </w:rPr>
        <w:t xml:space="preserve">Low Care/Cure intermedie Setting 1; </w:t>
      </w:r>
    </w:p>
    <w:p>
      <w:pPr>
        <w:pStyle w:val="Default"/>
        <w:numPr>
          <w:ilvl w:val="0"/>
          <w:numId w:val="16"/>
        </w:numPr>
        <w:spacing w:lineRule="atLeast" w:line="320"/>
        <w:ind w:left="714" w:hanging="357"/>
        <w:jc w:val="both"/>
        <w:rPr>
          <w:rFonts w:ascii="Calibri" w:hAnsi="Calibri" w:cs="Calibri" w:asciiTheme="minorHAnsi" w:cstheme="minorHAnsi" w:hAnsiTheme="minorHAnsi"/>
          <w:color w:val="auto"/>
          <w:sz w:val="22"/>
          <w:szCs w:val="22"/>
        </w:rPr>
      </w:pPr>
      <w:r>
        <w:rPr>
          <w:rFonts w:cs="Calibri" w:ascii="Calibri" w:hAnsi="Calibri" w:asciiTheme="minorHAnsi" w:cstheme="minorHAnsi" w:hAnsiTheme="minorHAnsi"/>
          <w:color w:val="auto"/>
          <w:sz w:val="22"/>
          <w:szCs w:val="22"/>
        </w:rPr>
        <w:t>Cure Intermedie Setting 2 e 3;</w:t>
      </w:r>
    </w:p>
    <w:p>
      <w:pPr>
        <w:pStyle w:val="Default"/>
        <w:numPr>
          <w:ilvl w:val="0"/>
          <w:numId w:val="16"/>
        </w:numPr>
        <w:spacing w:lineRule="atLeast" w:line="320"/>
        <w:ind w:left="714" w:hanging="357"/>
        <w:jc w:val="both"/>
        <w:rPr>
          <w:rFonts w:ascii="Calibri" w:hAnsi="Calibri" w:cs="Calibri" w:asciiTheme="minorHAnsi" w:cstheme="minorHAnsi" w:hAnsiTheme="minorHAnsi"/>
          <w:color w:val="auto"/>
          <w:sz w:val="22"/>
          <w:szCs w:val="22"/>
        </w:rPr>
      </w:pPr>
      <w:r>
        <w:rPr>
          <w:rFonts w:cs="Calibri" w:ascii="Calibri" w:hAnsi="Calibri" w:asciiTheme="minorHAnsi" w:cstheme="minorHAnsi" w:hAnsiTheme="minorHAnsi"/>
          <w:color w:val="auto"/>
          <w:sz w:val="22"/>
          <w:szCs w:val="22"/>
        </w:rPr>
        <w:t>Strutture a varia intensità di cura per pazienti CoViD, compresi alberghi sanitari per persone autosufficienti;</w:t>
      </w:r>
    </w:p>
    <w:p>
      <w:pPr>
        <w:pStyle w:val="Default"/>
        <w:numPr>
          <w:ilvl w:val="0"/>
          <w:numId w:val="16"/>
        </w:numPr>
        <w:spacing w:lineRule="atLeast" w:line="320"/>
        <w:ind w:left="714" w:hanging="357"/>
        <w:jc w:val="both"/>
        <w:rPr>
          <w:rFonts w:ascii="Calibri" w:hAnsi="Calibri" w:cs="Calibri" w:asciiTheme="minorHAnsi" w:cstheme="minorHAnsi" w:hAnsiTheme="minorHAnsi"/>
          <w:color w:val="auto"/>
          <w:sz w:val="22"/>
          <w:szCs w:val="22"/>
        </w:rPr>
      </w:pPr>
      <w:r>
        <w:rPr>
          <w:rFonts w:cs="Calibri" w:ascii="Calibri" w:hAnsi="Calibri" w:asciiTheme="minorHAnsi" w:cstheme="minorHAnsi" w:hAnsiTheme="minorHAnsi"/>
          <w:color w:val="auto"/>
          <w:sz w:val="22"/>
          <w:szCs w:val="22"/>
        </w:rPr>
        <w:t>Percorsi di riabilitazione svolti in strutture residenziali;</w:t>
      </w:r>
    </w:p>
    <w:p>
      <w:pPr>
        <w:pStyle w:val="Default"/>
        <w:numPr>
          <w:ilvl w:val="0"/>
          <w:numId w:val="16"/>
        </w:numPr>
        <w:spacing w:lineRule="atLeast" w:line="320"/>
        <w:ind w:left="714" w:hanging="357"/>
        <w:jc w:val="both"/>
        <w:rPr>
          <w:rFonts w:ascii="Calibri" w:hAnsi="Calibri" w:cs="Calibri" w:asciiTheme="minorHAnsi" w:cstheme="minorHAnsi" w:hAnsiTheme="minorHAnsi"/>
          <w:color w:val="auto"/>
          <w:sz w:val="22"/>
          <w:szCs w:val="22"/>
        </w:rPr>
      </w:pPr>
      <w:r>
        <w:rPr>
          <w:rFonts w:cs="Calibri" w:ascii="Calibri" w:hAnsi="Calibri" w:asciiTheme="minorHAnsi" w:cstheme="minorHAnsi" w:hAnsiTheme="minorHAnsi"/>
          <w:color w:val="auto"/>
          <w:sz w:val="22"/>
          <w:szCs w:val="22"/>
        </w:rPr>
        <w:t>Accoglienza in RSA (moduli base, modulo cognitivo-comportamentale, modulo a bassa intensità assistenziale);</w:t>
      </w:r>
    </w:p>
    <w:p>
      <w:pPr>
        <w:pStyle w:val="Default"/>
        <w:numPr>
          <w:ilvl w:val="0"/>
          <w:numId w:val="16"/>
        </w:numPr>
        <w:spacing w:lineRule="atLeast" w:line="320" w:before="0" w:afterAutospacing="1"/>
        <w:ind w:left="714" w:hanging="357"/>
        <w:jc w:val="both"/>
        <w:rPr>
          <w:rFonts w:ascii="Calibri" w:hAnsi="Calibri" w:cs="Calibri" w:asciiTheme="minorHAnsi" w:cstheme="minorHAnsi" w:hAnsiTheme="minorHAnsi"/>
          <w:color w:val="auto"/>
          <w:sz w:val="22"/>
          <w:szCs w:val="22"/>
        </w:rPr>
      </w:pPr>
      <w:r>
        <w:rPr>
          <w:rFonts w:cs="Calibri" w:ascii="Calibri" w:hAnsi="Calibri" w:asciiTheme="minorHAnsi" w:cstheme="minorHAnsi" w:hAnsiTheme="minorHAnsi"/>
          <w:color w:val="auto"/>
          <w:sz w:val="22"/>
          <w:szCs w:val="22"/>
        </w:rPr>
        <w:t>Strutture per migranti privi di titolo di soggiorno, con necessità sanitarie.</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 xml:space="preserve">Per quanto sopra, nel 2022 le ACOT hanno mantenuto rapporti anche con le strutture sanitarie, sociosanitarie e sociali presenti sul territorio e hanno preso in carico persone con bisogni di varia entità con l’approccio della integrazione sociosanitaria. I professionisti delle equipe ACOT (medici/assistenti sociali/infermieri) sono inoltre coinvolti nei Team del Codice Rosa Aziendale. </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Nel 2022, alcune Agenzie di Continuità della ASL Toscana Centro hanno proseguito il percorso di informatizzazione, che permette la condivisione di uno stesso portale e sistema tra i reparti ospedalieri segnalanti e l’equipe con estensione a tutte le ACOT aziendali.</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r>
    </w:p>
    <w:p>
      <w:pPr>
        <w:pStyle w:val="Titolo2"/>
        <w:spacing w:lineRule="atLeast" w:line="320" w:before="0" w:after="120"/>
        <w:jc w:val="both"/>
        <w:rPr>
          <w:rFonts w:ascii="Calibri" w:hAnsi="Calibri" w:cs="Calibri"/>
          <w:i w:val="false"/>
          <w:i w:val="false"/>
          <w:iCs w:val="false"/>
          <w:sz w:val="22"/>
          <w:szCs w:val="22"/>
        </w:rPr>
      </w:pPr>
      <w:bookmarkStart w:id="25" w:name="_Toc152228347"/>
      <w:r>
        <w:rPr>
          <w:rFonts w:cs="Calibri" w:ascii="Calibri" w:hAnsi="Calibri"/>
          <w:i w:val="false"/>
          <w:iCs w:val="false"/>
          <w:sz w:val="22"/>
          <w:szCs w:val="22"/>
        </w:rPr>
        <w:t>2.4.3 CURE INTERMEDIE</w:t>
      </w:r>
      <w:bookmarkEnd w:id="25"/>
    </w:p>
    <w:p>
      <w:pPr>
        <w:pStyle w:val="Normal"/>
        <w:spacing w:lineRule="atLeast" w:line="320" w:before="0" w:after="120"/>
        <w:jc w:val="both"/>
        <w:rPr>
          <w:rFonts w:ascii="Calibri" w:hAnsi="Calibri" w:eastAsia="Calibri" w:cs="Calibri"/>
          <w:sz w:val="22"/>
          <w:szCs w:val="22"/>
        </w:rPr>
      </w:pPr>
      <w:bookmarkStart w:id="26" w:name="_Toc40088921"/>
      <w:bookmarkEnd w:id="26"/>
      <w:r>
        <w:rPr>
          <w:rFonts w:eastAsia="Calibri" w:cs="Calibri" w:ascii="Calibri" w:hAnsi="Calibri"/>
          <w:sz w:val="22"/>
          <w:szCs w:val="22"/>
        </w:rPr>
        <w:t xml:space="preserve">Negli ultimi decenni il Sistema Sanitario si è dovuto confrontare con una realtà estremamente mutevole, uno dei principali cambiamenti intercorsi è stata l’inevitabile sostituzione del paradigma della cura dell’acuzie con quello della presa in carico della cronicità. In questo contesto il netto dualismo “cure primarie territoriali” da una parte ed “ospedali per acuti” dall’altra, non può essere la risposta, unica ed univoca, alle necessità assistenziali. </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 xml:space="preserve">Le Cure Intermedie (CI) sono strutture di ricovero territoriali con una presa in carico multidisciplinare e residenziale del paziente che non necessiti di un ospedale per acuti ma che non si trovi nemmeno nelle condizioni di far rientro/permanere al proprio domicilio. Gli obiettivi perseguiti da tali setting, come riportato anche dalla numerosa normativa nazionale (es. Piano Nazionale Sanitario 2006-2008, Patto per la Salute 2014-2016, DM 70/2015, Piano Nazionale Cronicità 2016) sono molteplici: supportare la dimissione tempestiva, evitare ospedalizzazioni inopportune, garantire la presa in carico multidisciplinare, favorire il recupero funzionale e la formazione del paziente/care-giver, ridurre il ricorso all’istituzionalizzazione etc. </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La Delibera di Giunta Regionale Toscana (DGRT) 909 nel 2017 ha emanato i nuovi indirizzi relativi alle CI del territorio, prevedendo 3 tipi di setting, diversificati in base all’intensità assistenziale e da declinare sui diversi specifici bisogni degli utenti:</w:t>
      </w:r>
    </w:p>
    <w:p>
      <w:pPr>
        <w:pStyle w:val="ListParagraph"/>
        <w:numPr>
          <w:ilvl w:val="0"/>
          <w:numId w:val="17"/>
        </w:numPr>
        <w:spacing w:lineRule="atLeast" w:line="320" w:before="20" w:after="120"/>
        <w:jc w:val="both"/>
        <w:rPr>
          <w:rFonts w:ascii="Calibri" w:hAnsi="Calibri" w:eastAsia="Calibri" w:cs="Calibri"/>
          <w:lang w:val="it-IT"/>
        </w:rPr>
      </w:pPr>
      <w:r>
        <w:rPr>
          <w:rFonts w:eastAsia="Calibri" w:cs="Calibri" w:ascii="Calibri" w:hAnsi="Calibri"/>
          <w:lang w:val="it-IT"/>
        </w:rPr>
        <w:t>Setting 1- Low Care: assistenza medica e infermieristica nelle 24 h, medio-alta intensità assistenziale;</w:t>
      </w:r>
    </w:p>
    <w:p>
      <w:pPr>
        <w:pStyle w:val="ListParagraph"/>
        <w:numPr>
          <w:ilvl w:val="0"/>
          <w:numId w:val="17"/>
        </w:numPr>
        <w:spacing w:lineRule="atLeast" w:line="320" w:before="20" w:after="120"/>
        <w:jc w:val="both"/>
        <w:rPr>
          <w:rFonts w:ascii="Calibri" w:hAnsi="Calibri" w:eastAsia="Calibri" w:cs="Calibri"/>
          <w:lang w:val="it-IT"/>
        </w:rPr>
      </w:pPr>
      <w:r>
        <w:rPr>
          <w:rFonts w:eastAsia="Calibri" w:cs="Calibri" w:ascii="Calibri" w:hAnsi="Calibri"/>
          <w:lang w:val="it-IT"/>
        </w:rPr>
        <w:t>Setting 2- Residenzialità Sanitaria Intermedia: assistenza infermieristica nelle 24 h e medica in orario diurno;</w:t>
      </w:r>
    </w:p>
    <w:p>
      <w:pPr>
        <w:pStyle w:val="ListParagraph"/>
        <w:numPr>
          <w:ilvl w:val="0"/>
          <w:numId w:val="17"/>
        </w:numPr>
        <w:spacing w:lineRule="atLeast" w:line="320" w:before="20" w:after="120"/>
        <w:jc w:val="both"/>
        <w:rPr>
          <w:rFonts w:ascii="Calibri" w:hAnsi="Calibri" w:eastAsia="Calibri" w:cs="Calibri"/>
          <w:lang w:val="it-IT"/>
        </w:rPr>
      </w:pPr>
      <w:r>
        <w:rPr>
          <w:rFonts w:eastAsia="Calibri" w:cs="Calibri" w:ascii="Calibri" w:hAnsi="Calibri"/>
          <w:lang w:val="it-IT"/>
        </w:rPr>
        <w:t>Setting 3 – Residenzialita’ Assistenziale Intermedia: bassa intensità assistenziale con presenza infermieristica nelle 24 h e assistenza medica assicurata dal Medico di Medicina Generale (MMG) con accessi programmati</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In tutti i setting è garantita inoltre la riattivazione funzionale al fine di favorire il recupero delle autonomie e il rientro a domicilio del paziente.</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Nel corso del 2022 i modelli organizzativi dei setting di CI, in Toscana e nella ASL Toscana Centro, hanno sicuramente rappresentato una modalità di risposta valida ed appropriata ai bisogni di cura e assistenza, sia di pazienti affetti da CoViD che di utenti provenienti da reparti ospedalieri in fase post-acuzie o dal territorio.</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I setting di CI presenti in Azienda sono stati in grado di assicurare una presa in carico in stretta collaborazione con la rete ospedaliera, garantendo una continuità di cure del paziente nella fase post-acuzie e perseguendo, quando possibile, la prossimità alla residenza. Queste strutture sono state anche utili per accogliere una parte di utenti segnalati direttamente dal proprio domicilio (soprattutto dai MMG), al fine di una presa in carico rapida, multidisciplinare ed indirizzata ad evitare invii al PS o ricoveri inappropriati in ospedale.</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 xml:space="preserve">Per la definizione del percorso di continuità assistenziale ruolo cardine è svolto dall’ACOT (Agenzia di Continuità Ospedale-Territorio) che ha il compito di valutare, pianificare, coordinare e monitorare la messa in atto del Piano Assistenziale Personalizzato. L’obiettivo è quello di disegnare, per ogni utente che venga segnalato dal reparto ospedaliero/struttura post-acuzie/territorio un percorso adeguato a seconda delle esigenze socio-clinico- assistenziali. </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Nel modello organizzativo della AUSL Toscana Centro è previsto che la gestione dei posti letto (pl) di CI sia in parte in carico alle ACOT per le zone dove i pl di CI sono adeguati a rispondere al fabbisogno e in parte in carico al Coordinamento Dimissioni Complesse Aziendale (CDCA) che gestisce in modo centralizzato i pl delle strutture private convenzionate per una distribuzione omogenea e uniforme delle risorse nelle zone in cui le CI sono assenti, insufficienti o disomogeneamente distribuite.</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Nel corso del 2022 le strutture di cure intermedie a disposizione per l’ASL Toscana Centro erano in totale 13, sia aziendali che private convenzionate, di queste 5 con pl di setting 1, 4 con pl di setting 2, 2 con pl di setting 3 e 2 strutture che hanno offerto prestazioni di setting 1 che di setting 2. Nel 2022 sono stati complessivamente messi a disposizione fino ad un massimo di 386 pl di cure intermedie con una variabilità nel corso dell’anno legata soprattutto alle oscillazioni del fabbisogno per i pazienti CoViD.</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Durante l’anno 2022 sono state attivate in totale 9.267 CI direttamente dalle ACOT/CDCA o dal territorio. Di queste attivazioni il 61% (5655) ha coinvolto il setting 1- Low-care, il  34,8% (3229) il setting 2- Residenzialità sanitaria intermedie, ed una minoranza (4,1%, 383) il setting 3- Residenzialità assistenziale intermedie (Tabella 19).</w:t>
      </w:r>
    </w:p>
    <w:p>
      <w:pPr>
        <w:pStyle w:val="Normal"/>
        <w:spacing w:lineRule="auto" w:line="276" w:before="0" w:after="120"/>
        <w:jc w:val="both"/>
        <w:rPr>
          <w:rFonts w:ascii="Calibri" w:hAnsi="Calibri" w:eastAsia="Calibri" w:cs="Calibri"/>
          <w:b/>
          <w:b/>
        </w:rPr>
      </w:pPr>
      <w:r>
        <w:rPr>
          <w:rFonts w:eastAsia="Calibri" w:cs="Calibri" w:ascii="Calibri" w:hAnsi="Calibri"/>
          <w:b/>
        </w:rPr>
      </w:r>
    </w:p>
    <w:p>
      <w:pPr>
        <w:pStyle w:val="Normal"/>
        <w:spacing w:lineRule="auto" w:line="276" w:before="0" w:after="120"/>
        <w:jc w:val="both"/>
        <w:rPr>
          <w:rFonts w:ascii="Calibri" w:hAnsi="Calibri" w:eastAsia="Calibri" w:cs="Calibri"/>
          <w:b/>
          <w:b/>
        </w:rPr>
      </w:pPr>
      <w:r>
        <w:rPr>
          <w:rFonts w:eastAsia="Calibri" w:cs="Calibri" w:ascii="Calibri" w:hAnsi="Calibri"/>
          <w:b/>
        </w:rPr>
        <w:t>Tabella 19. Numerosità ricoveri e posti letto per tipo di prestazione, AUSL TC anno 2022</w:t>
      </w:r>
    </w:p>
    <w:p>
      <w:pPr>
        <w:pStyle w:val="Normal"/>
        <w:spacing w:lineRule="auto" w:line="276" w:before="0" w:after="120"/>
        <w:jc w:val="both"/>
        <w:rPr>
          <w:rFonts w:ascii="Calibri" w:hAnsi="Calibri" w:eastAsia="Calibri" w:cs="Calibri"/>
        </w:rPr>
      </w:pPr>
      <w:r>
        <w:rPr/>
        <w:drawing>
          <wp:inline distT="0" distB="0" distL="0" distR="0">
            <wp:extent cx="5038725" cy="1114425"/>
            <wp:effectExtent l="0" t="0" r="0" b="0"/>
            <wp:docPr id="6" name="Immagin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9" descr=""/>
                    <pic:cNvPicPr>
                      <a:picLocks noChangeAspect="1" noChangeArrowheads="1"/>
                    </pic:cNvPicPr>
                  </pic:nvPicPr>
                  <pic:blipFill>
                    <a:blip r:embed="rId7"/>
                    <a:stretch>
                      <a:fillRect/>
                    </a:stretch>
                  </pic:blipFill>
                  <pic:spPr bwMode="auto">
                    <a:xfrm>
                      <a:off x="0" y="0"/>
                      <a:ext cx="5038725" cy="1114425"/>
                    </a:xfrm>
                    <a:prstGeom prst="rect">
                      <a:avLst/>
                    </a:prstGeom>
                  </pic:spPr>
                </pic:pic>
              </a:graphicData>
            </a:graphic>
          </wp:inline>
        </w:drawing>
      </w:r>
    </w:p>
    <w:p>
      <w:pPr>
        <w:pStyle w:val="Normal"/>
        <w:spacing w:lineRule="auto" w:line="276"/>
        <w:jc w:val="both"/>
        <w:rPr>
          <w:rFonts w:ascii="Calibri" w:hAnsi="Calibri" w:eastAsia="Calibri" w:cs="Calibri"/>
          <w:i/>
          <w:i/>
          <w:sz w:val="18"/>
        </w:rPr>
      </w:pPr>
      <w:r>
        <w:rPr>
          <w:rFonts w:eastAsia="Calibri" w:cs="Calibri" w:ascii="Calibri" w:hAnsi="Calibri"/>
          <w:b/>
          <w:bCs/>
          <w:i/>
          <w:sz w:val="18"/>
        </w:rPr>
        <w:t>Fonte:</w:t>
      </w:r>
      <w:r>
        <w:rPr>
          <w:rFonts w:eastAsia="Calibri" w:cs="Calibri" w:ascii="Calibri" w:hAnsi="Calibri"/>
          <w:i/>
          <w:sz w:val="18"/>
        </w:rPr>
        <w:t xml:space="preserve"> Report infoview Regione Toscana attività cure intermedie e stati vegetativi (RFC118) USL TOSCANA CENTRO anno 2022 aggiornato al 13/06/2023. Dettaglio relativo ad ASL Toscana Centro (201). </w:t>
      </w:r>
    </w:p>
    <w:p>
      <w:pPr>
        <w:pStyle w:val="Normal"/>
        <w:spacing w:lineRule="auto" w:line="276" w:before="0" w:after="200"/>
        <w:jc w:val="both"/>
        <w:rPr>
          <w:rFonts w:ascii="Calibri" w:hAnsi="Calibri" w:eastAsia="Calibri" w:cs="Calibri"/>
          <w:i/>
          <w:i/>
          <w:sz w:val="18"/>
        </w:rPr>
      </w:pPr>
      <w:r>
        <w:rPr>
          <w:rFonts w:eastAsia="Calibri" w:cs="Calibri" w:ascii="Calibri" w:hAnsi="Calibri"/>
          <w:i/>
          <w:sz w:val="18"/>
        </w:rPr>
        <w:t xml:space="preserve">(*) Numero max dei posti letto aziendali e convenzionati attivi nell’anno 2022. </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 xml:space="preserve">Le Cure Intermedie presenti nel territorio aziendale sono in linea con le progettualità e gli investimenti territoriali previsti nella Missione 6 del Piano Nazionale di Ripresa e Resilienza. Il territorio deve infatti garantire la presenza di Case di Comunità e Ospedali di Comunità al fine di fornire servizi territoriali soprattutto a garanzia della cura e gestione delle patologie croniche. </w:t>
      </w:r>
    </w:p>
    <w:p>
      <w:pPr>
        <w:pStyle w:val="Normal"/>
        <w:suppressAutoHyphens w:val="false"/>
        <w:rPr>
          <w:rFonts w:ascii="Calibri" w:hAnsi="Calibri" w:eastAsia="Calibri" w:cs="Calibri"/>
        </w:rPr>
      </w:pPr>
      <w:r>
        <w:rPr>
          <w:rFonts w:eastAsia="Calibri" w:cs="Calibri" w:ascii="Calibri" w:hAnsi="Calibri"/>
        </w:rPr>
      </w:r>
      <w:r>
        <w:br w:type="page"/>
      </w:r>
    </w:p>
    <w:p>
      <w:pPr>
        <w:pStyle w:val="Titolo2"/>
        <w:spacing w:lineRule="atLeast" w:line="320" w:before="0" w:after="120"/>
        <w:jc w:val="both"/>
        <w:rPr>
          <w:rFonts w:ascii="Calibri" w:hAnsi="Calibri" w:cs="Calibri"/>
          <w:i w:val="false"/>
          <w:i w:val="false"/>
          <w:iCs w:val="false"/>
          <w:sz w:val="22"/>
          <w:szCs w:val="22"/>
        </w:rPr>
      </w:pPr>
      <w:bookmarkStart w:id="27" w:name="_Toc152228348"/>
      <w:r>
        <w:rPr>
          <w:rFonts w:cs="Calibri" w:ascii="Calibri" w:hAnsi="Calibri"/>
          <w:i w:val="false"/>
          <w:iCs w:val="false"/>
          <w:sz w:val="22"/>
          <w:szCs w:val="22"/>
        </w:rPr>
        <w:t>2.4.4 ASSISTENZA TERRITORIALE – PRESTAZIONI AMBULATORIALI</w:t>
      </w:r>
      <w:bookmarkStart w:id="28" w:name="_Toc40088922"/>
      <w:bookmarkEnd w:id="27"/>
      <w:bookmarkEnd w:id="28"/>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2.4.4.1 ANDAMENTO DELLA DOMANDA (prescrizioni elettroniche) – PRESTAZIONI AMB. - PRGLA</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 xml:space="preserve">Analizzando le casistiche oggetto di monitoraggio del PRGLA (Piano Regionale Governo Liste di attesa), si nota un andamento crescente della domanda di prestazioni ambulatoriali in tutti gli ambiti territoriali, anche superiore al periodo ante pandemia Covid 19. È probabile che si stia facendo fronte ad una domanda “sommersa”, che sta riemergendo con forza con la fine dell’emergenza nazionale. </w:t>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Tabella 20. Dati demografici</w:t>
      </w:r>
    </w:p>
    <w:tbl>
      <w:tblPr>
        <w:tblStyle w:val="Tabellagriglia4-colore51"/>
        <w:tblW w:w="400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646"/>
        <w:gridCol w:w="1353"/>
      </w:tblGrid>
      <w:tr>
        <w:trPr/>
        <w:tc>
          <w:tcPr>
            <w:tcW w:w="2646" w:type="dxa"/>
            <w:tcBorders/>
          </w:tcPr>
          <w:p>
            <w:pPr>
              <w:pStyle w:val="Normal"/>
              <w:widowControl/>
              <w:suppressAutoHyphens w:val="true"/>
              <w:spacing w:lineRule="atLeast" w:line="320" w:before="0" w:after="0"/>
              <w:jc w:val="both"/>
              <w:rPr>
                <w:rFonts w:eastAsia="Calibri" w:cs="Calibri"/>
                <w:b/>
                <w:b/>
                <w:bCs/>
                <w:sz w:val="22"/>
                <w:szCs w:val="22"/>
              </w:rPr>
            </w:pPr>
            <w:r>
              <w:rPr>
                <w:rFonts w:eastAsia="Calibri" w:cs="Calibri" w:ascii="Calibri" w:hAnsi="Calibri"/>
                <w:b/>
                <w:bCs/>
                <w:kern w:val="0"/>
                <w:sz w:val="22"/>
                <w:szCs w:val="22"/>
                <w:lang w:val="it-IT" w:eastAsia="en-US" w:bidi="ar-SA"/>
              </w:rPr>
              <w:t>Ex ASL</w:t>
            </w:r>
          </w:p>
        </w:tc>
        <w:tc>
          <w:tcPr>
            <w:tcW w:w="1353" w:type="dxa"/>
            <w:tcBorders/>
          </w:tcPr>
          <w:p>
            <w:pPr>
              <w:pStyle w:val="Normal"/>
              <w:widowControl/>
              <w:suppressAutoHyphens w:val="true"/>
              <w:spacing w:lineRule="atLeast" w:line="320" w:before="0" w:after="0"/>
              <w:jc w:val="both"/>
              <w:rPr>
                <w:rFonts w:eastAsia="Calibri" w:cs="Calibri"/>
                <w:b/>
                <w:b/>
                <w:bCs/>
                <w:sz w:val="22"/>
                <w:szCs w:val="22"/>
              </w:rPr>
            </w:pPr>
            <w:r>
              <w:rPr>
                <w:rFonts w:eastAsia="Calibri" w:cs="Calibri" w:ascii="Calibri" w:hAnsi="Calibri"/>
                <w:b/>
                <w:bCs/>
                <w:kern w:val="0"/>
                <w:sz w:val="22"/>
                <w:szCs w:val="22"/>
                <w:lang w:val="it-IT" w:eastAsia="en-US" w:bidi="ar-SA"/>
              </w:rPr>
              <w:t>RESIDENTI</w:t>
            </w:r>
          </w:p>
        </w:tc>
      </w:tr>
      <w:tr>
        <w:trPr/>
        <w:tc>
          <w:tcPr>
            <w:tcW w:w="2646" w:type="dxa"/>
            <w:tcBorders/>
          </w:tcPr>
          <w:p>
            <w:pPr>
              <w:pStyle w:val="Normal"/>
              <w:widowControl/>
              <w:suppressAutoHyphens w:val="true"/>
              <w:spacing w:lineRule="atLeast" w:line="320" w:before="0" w:after="0"/>
              <w:jc w:val="both"/>
              <w:rPr>
                <w:rFonts w:eastAsia="Calibri" w:cs="Calibri"/>
                <w:sz w:val="22"/>
                <w:szCs w:val="22"/>
              </w:rPr>
            </w:pPr>
            <w:r>
              <w:rPr>
                <w:rFonts w:eastAsia="Calibri" w:cs="Calibri" w:ascii="Calibri" w:hAnsi="Calibri"/>
                <w:kern w:val="0"/>
                <w:sz w:val="22"/>
                <w:szCs w:val="22"/>
                <w:lang w:val="it-IT" w:eastAsia="en-US" w:bidi="ar-SA"/>
              </w:rPr>
              <w:t>Az. USL 10 di Firenze</w:t>
            </w:r>
          </w:p>
        </w:tc>
        <w:tc>
          <w:tcPr>
            <w:tcW w:w="1353" w:type="dxa"/>
            <w:tcBorders/>
          </w:tcPr>
          <w:p>
            <w:pPr>
              <w:pStyle w:val="Normal"/>
              <w:widowControl/>
              <w:suppressAutoHyphens w:val="true"/>
              <w:spacing w:lineRule="atLeast" w:line="320" w:before="0" w:after="0"/>
              <w:jc w:val="both"/>
              <w:rPr>
                <w:rFonts w:eastAsia="Calibri" w:cs="Calibri"/>
                <w:sz w:val="22"/>
                <w:szCs w:val="22"/>
              </w:rPr>
            </w:pPr>
            <w:r>
              <w:rPr>
                <w:rFonts w:eastAsia="Calibri" w:cs="Calibri" w:ascii="Calibri" w:hAnsi="Calibri"/>
                <w:kern w:val="0"/>
                <w:sz w:val="22"/>
                <w:szCs w:val="22"/>
                <w:lang w:val="it-IT" w:eastAsia="en-US" w:bidi="ar-SA"/>
              </w:rPr>
              <w:t>838.647</w:t>
            </w:r>
          </w:p>
        </w:tc>
      </w:tr>
      <w:tr>
        <w:trPr/>
        <w:tc>
          <w:tcPr>
            <w:tcW w:w="2646" w:type="dxa"/>
            <w:tcBorders/>
          </w:tcPr>
          <w:p>
            <w:pPr>
              <w:pStyle w:val="Normal"/>
              <w:widowControl/>
              <w:suppressAutoHyphens w:val="true"/>
              <w:spacing w:lineRule="atLeast" w:line="320" w:before="0" w:after="0"/>
              <w:jc w:val="both"/>
              <w:rPr>
                <w:rFonts w:eastAsia="Calibri" w:cs="Calibri"/>
                <w:sz w:val="22"/>
                <w:szCs w:val="22"/>
              </w:rPr>
            </w:pPr>
            <w:r>
              <w:rPr>
                <w:rFonts w:eastAsia="Calibri" w:cs="Calibri" w:ascii="Calibri" w:hAnsi="Calibri"/>
                <w:kern w:val="0"/>
                <w:sz w:val="22"/>
                <w:szCs w:val="22"/>
                <w:lang w:val="it-IT" w:eastAsia="en-US" w:bidi="ar-SA"/>
              </w:rPr>
              <w:t>Az. USL 11 di Empoli</w:t>
            </w:r>
          </w:p>
        </w:tc>
        <w:tc>
          <w:tcPr>
            <w:tcW w:w="1353" w:type="dxa"/>
            <w:tcBorders/>
          </w:tcPr>
          <w:p>
            <w:pPr>
              <w:pStyle w:val="Normal"/>
              <w:widowControl/>
              <w:suppressAutoHyphens w:val="true"/>
              <w:spacing w:lineRule="atLeast" w:line="320" w:before="0" w:after="0"/>
              <w:jc w:val="both"/>
              <w:rPr>
                <w:rFonts w:eastAsia="Calibri" w:cs="Calibri"/>
                <w:sz w:val="22"/>
                <w:szCs w:val="22"/>
              </w:rPr>
            </w:pPr>
            <w:r>
              <w:rPr>
                <w:rFonts w:eastAsia="Calibri" w:cs="Calibri" w:ascii="Calibri" w:hAnsi="Calibri"/>
                <w:kern w:val="0"/>
                <w:sz w:val="22"/>
                <w:szCs w:val="22"/>
                <w:lang w:val="it-IT" w:eastAsia="en-US" w:bidi="ar-SA"/>
              </w:rPr>
              <w:t>241.811</w:t>
            </w:r>
          </w:p>
        </w:tc>
      </w:tr>
      <w:tr>
        <w:trPr/>
        <w:tc>
          <w:tcPr>
            <w:tcW w:w="2646" w:type="dxa"/>
            <w:tcBorders/>
          </w:tcPr>
          <w:p>
            <w:pPr>
              <w:pStyle w:val="Normal"/>
              <w:widowControl/>
              <w:suppressAutoHyphens w:val="true"/>
              <w:spacing w:lineRule="atLeast" w:line="320" w:before="0" w:after="0"/>
              <w:jc w:val="both"/>
              <w:rPr>
                <w:rFonts w:eastAsia="Calibri" w:cs="Calibri"/>
                <w:sz w:val="22"/>
                <w:szCs w:val="22"/>
              </w:rPr>
            </w:pPr>
            <w:r>
              <w:rPr>
                <w:rFonts w:eastAsia="Calibri" w:cs="Calibri" w:ascii="Calibri" w:hAnsi="Calibri"/>
                <w:kern w:val="0"/>
                <w:sz w:val="22"/>
                <w:szCs w:val="22"/>
                <w:lang w:val="it-IT" w:eastAsia="en-US" w:bidi="ar-SA"/>
              </w:rPr>
              <w:t>Az. USL 3 di Pistoia</w:t>
            </w:r>
          </w:p>
        </w:tc>
        <w:tc>
          <w:tcPr>
            <w:tcW w:w="1353" w:type="dxa"/>
            <w:tcBorders/>
          </w:tcPr>
          <w:p>
            <w:pPr>
              <w:pStyle w:val="Normal"/>
              <w:widowControl/>
              <w:suppressAutoHyphens w:val="true"/>
              <w:spacing w:lineRule="atLeast" w:line="320" w:before="0" w:after="0"/>
              <w:jc w:val="both"/>
              <w:rPr>
                <w:rFonts w:eastAsia="Calibri" w:cs="Calibri"/>
                <w:sz w:val="22"/>
                <w:szCs w:val="22"/>
              </w:rPr>
            </w:pPr>
            <w:r>
              <w:rPr>
                <w:rFonts w:eastAsia="Calibri" w:cs="Calibri" w:ascii="Calibri" w:hAnsi="Calibri"/>
                <w:kern w:val="0"/>
                <w:sz w:val="22"/>
                <w:szCs w:val="22"/>
                <w:lang w:val="it-IT" w:eastAsia="en-US" w:bidi="ar-SA"/>
              </w:rPr>
              <w:t>291.963</w:t>
            </w:r>
          </w:p>
        </w:tc>
      </w:tr>
      <w:tr>
        <w:trPr/>
        <w:tc>
          <w:tcPr>
            <w:tcW w:w="2646" w:type="dxa"/>
            <w:tcBorders/>
          </w:tcPr>
          <w:p>
            <w:pPr>
              <w:pStyle w:val="Normal"/>
              <w:widowControl/>
              <w:suppressAutoHyphens w:val="true"/>
              <w:spacing w:lineRule="atLeast" w:line="320" w:before="0" w:after="0"/>
              <w:jc w:val="both"/>
              <w:rPr>
                <w:rFonts w:eastAsia="Calibri" w:cs="Calibri"/>
                <w:sz w:val="22"/>
                <w:szCs w:val="22"/>
              </w:rPr>
            </w:pPr>
            <w:r>
              <w:rPr>
                <w:rFonts w:eastAsia="Calibri" w:cs="Calibri" w:ascii="Calibri" w:hAnsi="Calibri"/>
                <w:kern w:val="0"/>
                <w:sz w:val="22"/>
                <w:szCs w:val="22"/>
                <w:lang w:val="it-IT" w:eastAsia="en-US" w:bidi="ar-SA"/>
              </w:rPr>
              <w:t>Az. USL 4 di Prato</w:t>
            </w:r>
          </w:p>
        </w:tc>
        <w:tc>
          <w:tcPr>
            <w:tcW w:w="1353" w:type="dxa"/>
            <w:tcBorders/>
          </w:tcPr>
          <w:p>
            <w:pPr>
              <w:pStyle w:val="Normal"/>
              <w:widowControl/>
              <w:suppressAutoHyphens w:val="true"/>
              <w:spacing w:lineRule="atLeast" w:line="320" w:before="0" w:after="0"/>
              <w:jc w:val="both"/>
              <w:rPr>
                <w:rFonts w:eastAsia="Calibri" w:cs="Calibri"/>
                <w:sz w:val="22"/>
                <w:szCs w:val="22"/>
              </w:rPr>
            </w:pPr>
            <w:r>
              <w:rPr>
                <w:rFonts w:eastAsia="Calibri" w:cs="Calibri" w:ascii="Calibri" w:hAnsi="Calibri"/>
                <w:kern w:val="0"/>
                <w:sz w:val="22"/>
                <w:szCs w:val="22"/>
                <w:lang w:val="it-IT" w:eastAsia="en-US" w:bidi="ar-SA"/>
              </w:rPr>
              <w:t>253.123</w:t>
            </w:r>
          </w:p>
        </w:tc>
      </w:tr>
      <w:tr>
        <w:trPr/>
        <w:tc>
          <w:tcPr>
            <w:tcW w:w="2646" w:type="dxa"/>
            <w:tcBorders/>
          </w:tcPr>
          <w:p>
            <w:pPr>
              <w:pStyle w:val="Normal"/>
              <w:widowControl/>
              <w:suppressAutoHyphens w:val="true"/>
              <w:spacing w:lineRule="atLeast" w:line="320" w:before="0" w:after="0"/>
              <w:jc w:val="both"/>
              <w:rPr>
                <w:rFonts w:eastAsia="Calibri" w:cs="Calibri"/>
                <w:sz w:val="22"/>
                <w:szCs w:val="22"/>
              </w:rPr>
            </w:pPr>
            <w:r>
              <w:rPr>
                <w:rFonts w:eastAsia="Calibri" w:cs="Calibri" w:ascii="Calibri" w:hAnsi="Calibri"/>
                <w:kern w:val="0"/>
                <w:sz w:val="22"/>
                <w:szCs w:val="22"/>
                <w:lang w:val="it-IT" w:eastAsia="en-US" w:bidi="ar-SA"/>
              </w:rPr>
              <w:t>Az. USL Toscana centro</w:t>
            </w:r>
          </w:p>
        </w:tc>
        <w:tc>
          <w:tcPr>
            <w:tcW w:w="1353" w:type="dxa"/>
            <w:tcBorders/>
          </w:tcPr>
          <w:p>
            <w:pPr>
              <w:pStyle w:val="Normal"/>
              <w:widowControl/>
              <w:suppressAutoHyphens w:val="true"/>
              <w:spacing w:lineRule="atLeast" w:line="320" w:before="0" w:after="0"/>
              <w:jc w:val="both"/>
              <w:rPr>
                <w:rFonts w:eastAsia="Calibri" w:cs="Calibri"/>
                <w:sz w:val="22"/>
                <w:szCs w:val="22"/>
              </w:rPr>
            </w:pPr>
            <w:r>
              <w:rPr>
                <w:rFonts w:eastAsia="Calibri" w:cs="Calibri" w:ascii="Calibri" w:hAnsi="Calibri"/>
                <w:kern w:val="0"/>
                <w:sz w:val="22"/>
                <w:szCs w:val="22"/>
                <w:lang w:val="it-IT" w:eastAsia="en-US" w:bidi="ar-SA"/>
              </w:rPr>
              <w:t>1.625.544</w:t>
            </w:r>
          </w:p>
        </w:tc>
      </w:tr>
    </w:tbl>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Fonte dati: http://web.regione.toscana.it</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Considerati i dati demografici sopra presentati (Tabella 20), è possibile stimare il tasso di prescrizioni ogni 10.000 abitanti, sia per le visite che per la diagnostica, in tutti gli ambiti territoriali aziendali. Per le prime visite specialistiche nell’intero anno 2022, nel territorio afferente all’ASL TC, si sono riscontrate   919.677 richieste, con una media di 5657 prescrizioni ogni 10.000 abitanti; mentre per la diagnostica (1.099230 prestazioni prescritte nell’anno) si riscontra nel 2022 una media di circa 6762 prescrizioni ogni 10.000 residenti in ASL TC.</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 xml:space="preserve">Di seguito sono riportati i grafici (Figura 5 e 6) con gli andamenti delle prescrizioni prodotte, considerando l’ambito ASL TC; si potrà riscontrare, sia per le visite che per la diagnostica, la tendenza crescente della domanda, con picchi evidenti nel 2022, superiori anche al periodo ante pandemia (anno 2019). (Fonte dati: Regione Toscana). </w:t>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 xml:space="preserve">Figura 5. Numero prescrizioni elettroniche (trend quindicinale); periodo considerato: anno 2022 vs 2021 vs 2020 vs 2019. PRIME VISITE SPECIALISTICHE, AMBITO ASL TC </w:t>
      </w:r>
    </w:p>
    <w:p>
      <w:pPr>
        <w:pStyle w:val="Normal"/>
        <w:spacing w:lineRule="atLeast" w:line="320" w:before="0" w:after="120"/>
        <w:jc w:val="both"/>
        <w:rPr>
          <w:rFonts w:ascii="Calibri" w:hAnsi="Calibri" w:eastAsia="Calibri" w:cs="Calibri"/>
          <w:b/>
          <w:b/>
          <w:sz w:val="22"/>
          <w:szCs w:val="22"/>
        </w:rPr>
      </w:pPr>
      <w:r>
        <w:rPr/>
        <w:drawing>
          <wp:inline distT="0" distB="0" distL="0" distR="0">
            <wp:extent cx="5593715" cy="2786380"/>
            <wp:effectExtent l="0" t="0" r="0" b="0"/>
            <wp:docPr id="7" name="Immagin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1" descr=""/>
                    <pic:cNvPicPr>
                      <a:picLocks noChangeAspect="1" noChangeArrowheads="1"/>
                    </pic:cNvPicPr>
                  </pic:nvPicPr>
                  <pic:blipFill>
                    <a:blip r:embed="rId8"/>
                    <a:stretch>
                      <a:fillRect/>
                    </a:stretch>
                  </pic:blipFill>
                  <pic:spPr bwMode="auto">
                    <a:xfrm>
                      <a:off x="0" y="0"/>
                      <a:ext cx="5593715" cy="2786380"/>
                    </a:xfrm>
                    <a:prstGeom prst="rect">
                      <a:avLst/>
                    </a:prstGeom>
                  </pic:spPr>
                </pic:pic>
              </a:graphicData>
            </a:graphic>
          </wp:inline>
        </w:drawing>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 xml:space="preserve">Figura 6. Numero prescrizioni elettroniche (trend quindicinale); periodo considerato: anno 2022 vs 2021 vs 2020 vs 2019. DIAGNOSTICA, AMBITO ASL TC </w:t>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r>
    </w:p>
    <w:p>
      <w:pPr>
        <w:pStyle w:val="Normal"/>
        <w:spacing w:lineRule="atLeast" w:line="320" w:before="0" w:after="120"/>
        <w:jc w:val="both"/>
        <w:rPr>
          <w:rFonts w:ascii="Calibri" w:hAnsi="Calibri" w:eastAsia="Calibri" w:cs="Calibri"/>
          <w:sz w:val="22"/>
          <w:szCs w:val="22"/>
        </w:rPr>
      </w:pPr>
      <w:r>
        <w:rPr/>
        <w:drawing>
          <wp:inline distT="0" distB="0" distL="0" distR="0">
            <wp:extent cx="5709920" cy="2844800"/>
            <wp:effectExtent l="0" t="0" r="0" b="0"/>
            <wp:docPr id="8" name="Immagin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0" descr=""/>
                    <pic:cNvPicPr>
                      <a:picLocks noChangeAspect="1" noChangeArrowheads="1"/>
                    </pic:cNvPicPr>
                  </pic:nvPicPr>
                  <pic:blipFill>
                    <a:blip r:embed="rId9"/>
                    <a:stretch>
                      <a:fillRect/>
                    </a:stretch>
                  </pic:blipFill>
                  <pic:spPr bwMode="auto">
                    <a:xfrm>
                      <a:off x="0" y="0"/>
                      <a:ext cx="5709920" cy="2844800"/>
                    </a:xfrm>
                    <a:prstGeom prst="rect">
                      <a:avLst/>
                    </a:prstGeom>
                  </pic:spPr>
                </pic:pic>
              </a:graphicData>
            </a:graphic>
          </wp:inline>
        </w:drawing>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2.4.4.2 ANALISI PRENOTATO EFFETTIVO – PRESTAZIONI PRGLA</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Di seguito si confronta il dato della domanda (prescrizioni) correlata alle prestazioni oggetto di monitoraggio del PRGLA con le effettive prenotazioni che sono state garantite dai nostri servizi ai cittadini residenti nell’Area Vasta Centro. Sarà dunque possibile stimare anche il numero medio di prestazioni erogate (basato sulle prenotazioni effettivamente garantite) ogni 10.000 residenti, considerando gli ambiti di garanzia stabiliti dalla normativa vigente.</w:t>
      </w:r>
    </w:p>
    <w:p>
      <w:pPr>
        <w:pStyle w:val="Normal"/>
        <w:suppressAutoHyphens w:val="false"/>
        <w:rPr>
          <w:rFonts w:ascii="Calibri" w:hAnsi="Calibri" w:eastAsia="Calibri" w:cs="Calibri"/>
          <w:b/>
          <w:b/>
          <w:sz w:val="22"/>
          <w:szCs w:val="22"/>
        </w:rPr>
      </w:pPr>
      <w:r>
        <w:rPr>
          <w:rFonts w:eastAsia="Calibri" w:cs="Calibri" w:ascii="Calibri" w:hAnsi="Calibri"/>
          <w:b/>
          <w:sz w:val="22"/>
          <w:szCs w:val="22"/>
        </w:rPr>
        <w:t>Tabella 20a. Prescrizioni vs prenotazioni garantite dall’Azienda TC, anno 2021</w:t>
      </w:r>
    </w:p>
    <w:p>
      <w:pPr>
        <w:pStyle w:val="Normal"/>
        <w:suppressAutoHyphens w:val="false"/>
        <w:rPr>
          <w:rFonts w:ascii="Calibri" w:hAnsi="Calibri" w:eastAsia="Calibri" w:cs="Calibri"/>
          <w:sz w:val="22"/>
          <w:szCs w:val="22"/>
        </w:rPr>
      </w:pPr>
      <w:r>
        <w:rPr>
          <w:rFonts w:eastAsia="Calibri" w:cs="Calibri" w:ascii="Calibri" w:hAnsi="Calibri"/>
          <w:sz w:val="22"/>
          <w:szCs w:val="22"/>
        </w:rPr>
      </w:r>
    </w:p>
    <w:tbl>
      <w:tblPr>
        <w:tblStyle w:val="Tabellagriglia4-colore51"/>
        <w:tblW w:w="992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221"/>
        <w:gridCol w:w="962"/>
        <w:gridCol w:w="1000"/>
        <w:gridCol w:w="998"/>
        <w:gridCol w:w="1000"/>
        <w:gridCol w:w="1002"/>
        <w:gridCol w:w="1298"/>
        <w:gridCol w:w="1300"/>
        <w:gridCol w:w="1141"/>
      </w:tblGrid>
      <w:tr>
        <w:trPr>
          <w:trHeight w:val="479" w:hRule="atLeast"/>
        </w:trPr>
        <w:tc>
          <w:tcPr>
            <w:tcW w:w="9922" w:type="dxa"/>
            <w:gridSpan w:val="9"/>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Prescrizioni vs Prenotazioni garantite dall'Azienda anno 2022 - prestazioni PRGLA</w:t>
            </w:r>
          </w:p>
        </w:tc>
      </w:tr>
      <w:tr>
        <w:trPr>
          <w:trHeight w:val="496" w:hRule="atLeast"/>
        </w:trPr>
        <w:tc>
          <w:tcPr>
            <w:tcW w:w="1221" w:type="dxa"/>
            <w:vMerge w:val="restart"/>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Ambiti territoriali USL Toscana Centro</w:t>
            </w:r>
          </w:p>
        </w:tc>
        <w:tc>
          <w:tcPr>
            <w:tcW w:w="962" w:type="dxa"/>
            <w:vMerge w:val="restart"/>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Residenti</w:t>
            </w:r>
          </w:p>
        </w:tc>
        <w:tc>
          <w:tcPr>
            <w:tcW w:w="1998" w:type="dxa"/>
            <w:gridSpan w:val="2"/>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Visite</w:t>
            </w:r>
          </w:p>
        </w:tc>
        <w:tc>
          <w:tcPr>
            <w:tcW w:w="2002" w:type="dxa"/>
            <w:gridSpan w:val="2"/>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Diagnostica</w:t>
            </w:r>
          </w:p>
        </w:tc>
        <w:tc>
          <w:tcPr>
            <w:tcW w:w="1298" w:type="dxa"/>
            <w:vMerge w:val="restart"/>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Media prestazioni prescritte ogni 10.000 residenti</w:t>
            </w:r>
          </w:p>
        </w:tc>
        <w:tc>
          <w:tcPr>
            <w:tcW w:w="1300" w:type="dxa"/>
            <w:vMerge w:val="restart"/>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Media prestazioni garantite ogni 10.000 residenti</w:t>
            </w:r>
          </w:p>
        </w:tc>
        <w:tc>
          <w:tcPr>
            <w:tcW w:w="1141" w:type="dxa"/>
            <w:vMerge w:val="restart"/>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Catchment Index (target regionale pari al 75%)</w:t>
            </w:r>
          </w:p>
        </w:tc>
      </w:tr>
      <w:tr>
        <w:trPr>
          <w:trHeight w:val="479" w:hRule="atLeast"/>
        </w:trPr>
        <w:tc>
          <w:tcPr>
            <w:tcW w:w="1221" w:type="dxa"/>
            <w:vMerge w:val="continue"/>
            <w:tcBorders/>
            <w:vAlign w:val="center"/>
          </w:tcPr>
          <w:p>
            <w:pPr>
              <w:pStyle w:val="Normal"/>
              <w:widowControl/>
              <w:suppressAutoHyphens w:val="false"/>
              <w:spacing w:before="0" w:after="0"/>
              <w:jc w:val="left"/>
              <w:rPr>
                <w:rFonts w:cs="Calibri"/>
                <w:b/>
                <w:b/>
                <w:bCs/>
                <w:sz w:val="18"/>
                <w:szCs w:val="18"/>
              </w:rPr>
            </w:pPr>
            <w:r>
              <w:rPr>
                <w:rFonts w:eastAsia="Times New Roman" w:cs="Calibri"/>
                <w:b/>
                <w:bCs/>
                <w:kern w:val="0"/>
                <w:sz w:val="18"/>
                <w:szCs w:val="18"/>
                <w:lang w:val="it-IT" w:eastAsia="en-US" w:bidi="ar-SA"/>
              </w:rPr>
            </w:r>
          </w:p>
        </w:tc>
        <w:tc>
          <w:tcPr>
            <w:tcW w:w="962" w:type="dxa"/>
            <w:vMerge w:val="continue"/>
            <w:tcBorders/>
            <w:vAlign w:val="center"/>
          </w:tcPr>
          <w:p>
            <w:pPr>
              <w:pStyle w:val="Normal"/>
              <w:widowControl/>
              <w:suppressAutoHyphens w:val="false"/>
              <w:spacing w:before="0" w:after="0"/>
              <w:jc w:val="left"/>
              <w:rPr>
                <w:rFonts w:cs="Calibri"/>
                <w:b/>
                <w:b/>
                <w:bCs/>
                <w:sz w:val="18"/>
                <w:szCs w:val="18"/>
              </w:rPr>
            </w:pPr>
            <w:r>
              <w:rPr>
                <w:rFonts w:eastAsia="Times New Roman" w:cs="Calibri"/>
                <w:b/>
                <w:bCs/>
                <w:kern w:val="0"/>
                <w:sz w:val="18"/>
                <w:szCs w:val="18"/>
                <w:lang w:val="it-IT" w:eastAsia="en-US" w:bidi="ar-SA"/>
              </w:rPr>
            </w:r>
          </w:p>
        </w:tc>
        <w:tc>
          <w:tcPr>
            <w:tcW w:w="1000" w:type="dxa"/>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Prescrizioni</w:t>
            </w:r>
          </w:p>
        </w:tc>
        <w:tc>
          <w:tcPr>
            <w:tcW w:w="998" w:type="dxa"/>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Prenotazioni</w:t>
            </w:r>
          </w:p>
        </w:tc>
        <w:tc>
          <w:tcPr>
            <w:tcW w:w="1000" w:type="dxa"/>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Prescrizioni</w:t>
            </w:r>
          </w:p>
        </w:tc>
        <w:tc>
          <w:tcPr>
            <w:tcW w:w="1002" w:type="dxa"/>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Prenotazioni</w:t>
            </w:r>
          </w:p>
        </w:tc>
        <w:tc>
          <w:tcPr>
            <w:tcW w:w="1298" w:type="dxa"/>
            <w:vMerge w:val="continue"/>
            <w:tcBorders/>
            <w:vAlign w:val="center"/>
          </w:tcPr>
          <w:p>
            <w:pPr>
              <w:pStyle w:val="Normal"/>
              <w:widowControl/>
              <w:suppressAutoHyphens w:val="false"/>
              <w:spacing w:before="0" w:after="0"/>
              <w:jc w:val="left"/>
              <w:rPr>
                <w:rFonts w:cs="Calibri"/>
                <w:b/>
                <w:b/>
                <w:bCs/>
                <w:sz w:val="18"/>
                <w:szCs w:val="18"/>
              </w:rPr>
            </w:pPr>
            <w:r>
              <w:rPr>
                <w:rFonts w:eastAsia="Times New Roman" w:cs="Calibri"/>
                <w:b/>
                <w:bCs/>
                <w:kern w:val="0"/>
                <w:sz w:val="18"/>
                <w:szCs w:val="18"/>
                <w:lang w:val="it-IT" w:eastAsia="en-US" w:bidi="ar-SA"/>
              </w:rPr>
            </w:r>
          </w:p>
        </w:tc>
        <w:tc>
          <w:tcPr>
            <w:tcW w:w="1300" w:type="dxa"/>
            <w:vMerge w:val="continue"/>
            <w:tcBorders/>
            <w:vAlign w:val="center"/>
          </w:tcPr>
          <w:p>
            <w:pPr>
              <w:pStyle w:val="Normal"/>
              <w:widowControl/>
              <w:suppressAutoHyphens w:val="false"/>
              <w:spacing w:before="0" w:after="0"/>
              <w:jc w:val="left"/>
              <w:rPr>
                <w:rFonts w:cs="Calibri"/>
                <w:b/>
                <w:b/>
                <w:bCs/>
                <w:sz w:val="18"/>
                <w:szCs w:val="18"/>
              </w:rPr>
            </w:pPr>
            <w:r>
              <w:rPr>
                <w:rFonts w:eastAsia="Times New Roman" w:cs="Calibri"/>
                <w:b/>
                <w:bCs/>
                <w:kern w:val="0"/>
                <w:sz w:val="18"/>
                <w:szCs w:val="18"/>
                <w:lang w:val="it-IT" w:eastAsia="en-US" w:bidi="ar-SA"/>
              </w:rPr>
            </w:r>
          </w:p>
        </w:tc>
        <w:tc>
          <w:tcPr>
            <w:tcW w:w="1141" w:type="dxa"/>
            <w:vMerge w:val="continue"/>
            <w:tcBorders/>
            <w:vAlign w:val="center"/>
          </w:tcPr>
          <w:p>
            <w:pPr>
              <w:pStyle w:val="Normal"/>
              <w:widowControl/>
              <w:suppressAutoHyphens w:val="false"/>
              <w:spacing w:before="0" w:after="0"/>
              <w:jc w:val="left"/>
              <w:rPr>
                <w:rFonts w:cs="Calibri"/>
                <w:b/>
                <w:b/>
                <w:bCs/>
                <w:sz w:val="18"/>
                <w:szCs w:val="18"/>
              </w:rPr>
            </w:pPr>
            <w:r>
              <w:rPr>
                <w:rFonts w:eastAsia="Times New Roman" w:cs="Calibri"/>
                <w:b/>
                <w:bCs/>
                <w:kern w:val="0"/>
                <w:sz w:val="18"/>
                <w:szCs w:val="18"/>
                <w:lang w:val="it-IT" w:eastAsia="en-US" w:bidi="ar-SA"/>
              </w:rPr>
            </w:r>
          </w:p>
        </w:tc>
      </w:tr>
      <w:tr>
        <w:trPr>
          <w:trHeight w:val="489" w:hRule="atLeast"/>
        </w:trPr>
        <w:tc>
          <w:tcPr>
            <w:tcW w:w="1221" w:type="dxa"/>
            <w:tcBorders/>
            <w:vAlign w:val="center"/>
          </w:tcPr>
          <w:p>
            <w:pPr>
              <w:pStyle w:val="Normal"/>
              <w:widowControl/>
              <w:suppressAutoHyphens w:val="false"/>
              <w:spacing w:before="0" w:after="0"/>
              <w:jc w:val="center"/>
              <w:rPr>
                <w:rFonts w:cs="Calibri"/>
                <w:sz w:val="18"/>
                <w:szCs w:val="18"/>
              </w:rPr>
            </w:pPr>
            <w:r>
              <w:rPr>
                <w:rFonts w:eastAsia="Times New Roman" w:cs="Calibri" w:ascii="Calibri" w:hAnsi="Calibri"/>
                <w:kern w:val="0"/>
                <w:sz w:val="18"/>
                <w:szCs w:val="18"/>
                <w:lang w:val="it-IT" w:eastAsia="en-US" w:bidi="ar-SA"/>
              </w:rPr>
              <w:t>Ex Asl Firenze</w:t>
            </w:r>
          </w:p>
        </w:tc>
        <w:tc>
          <w:tcPr>
            <w:tcW w:w="962"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838647</w:t>
            </w:r>
          </w:p>
        </w:tc>
        <w:tc>
          <w:tcPr>
            <w:tcW w:w="10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416265</w:t>
            </w:r>
          </w:p>
        </w:tc>
        <w:tc>
          <w:tcPr>
            <w:tcW w:w="998"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282419</w:t>
            </w:r>
          </w:p>
        </w:tc>
        <w:tc>
          <w:tcPr>
            <w:tcW w:w="10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500367</w:t>
            </w:r>
          </w:p>
        </w:tc>
        <w:tc>
          <w:tcPr>
            <w:tcW w:w="1002"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324358</w:t>
            </w:r>
          </w:p>
        </w:tc>
        <w:tc>
          <w:tcPr>
            <w:tcW w:w="1298"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10930</w:t>
            </w:r>
          </w:p>
        </w:tc>
        <w:tc>
          <w:tcPr>
            <w:tcW w:w="13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7235</w:t>
            </w:r>
          </w:p>
        </w:tc>
        <w:tc>
          <w:tcPr>
            <w:tcW w:w="1141"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66%</w:t>
            </w:r>
          </w:p>
        </w:tc>
      </w:tr>
      <w:tr>
        <w:trPr>
          <w:trHeight w:val="486" w:hRule="atLeast"/>
        </w:trPr>
        <w:tc>
          <w:tcPr>
            <w:tcW w:w="1221" w:type="dxa"/>
            <w:tcBorders/>
            <w:vAlign w:val="center"/>
          </w:tcPr>
          <w:p>
            <w:pPr>
              <w:pStyle w:val="Normal"/>
              <w:widowControl/>
              <w:suppressAutoHyphens w:val="false"/>
              <w:spacing w:before="0" w:after="0"/>
              <w:jc w:val="center"/>
              <w:rPr>
                <w:rFonts w:cs="Calibri"/>
                <w:sz w:val="18"/>
                <w:szCs w:val="18"/>
              </w:rPr>
            </w:pPr>
            <w:r>
              <w:rPr>
                <w:rFonts w:eastAsia="Times New Roman" w:cs="Calibri" w:ascii="Calibri" w:hAnsi="Calibri"/>
                <w:kern w:val="0"/>
                <w:sz w:val="18"/>
                <w:szCs w:val="18"/>
                <w:lang w:val="it-IT" w:eastAsia="en-US" w:bidi="ar-SA"/>
              </w:rPr>
              <w:t>Ex Asl Empoli</w:t>
            </w:r>
          </w:p>
        </w:tc>
        <w:tc>
          <w:tcPr>
            <w:tcW w:w="962"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241811</w:t>
            </w:r>
          </w:p>
        </w:tc>
        <w:tc>
          <w:tcPr>
            <w:tcW w:w="10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123353</w:t>
            </w:r>
          </w:p>
        </w:tc>
        <w:tc>
          <w:tcPr>
            <w:tcW w:w="998"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68314</w:t>
            </w:r>
          </w:p>
        </w:tc>
        <w:tc>
          <w:tcPr>
            <w:tcW w:w="10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142388</w:t>
            </w:r>
          </w:p>
        </w:tc>
        <w:tc>
          <w:tcPr>
            <w:tcW w:w="1002"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62202</w:t>
            </w:r>
          </w:p>
        </w:tc>
        <w:tc>
          <w:tcPr>
            <w:tcW w:w="1298"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10990</w:t>
            </w:r>
          </w:p>
        </w:tc>
        <w:tc>
          <w:tcPr>
            <w:tcW w:w="13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5397</w:t>
            </w:r>
          </w:p>
        </w:tc>
        <w:tc>
          <w:tcPr>
            <w:tcW w:w="1141"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49%</w:t>
            </w:r>
          </w:p>
        </w:tc>
      </w:tr>
      <w:tr>
        <w:trPr>
          <w:trHeight w:val="486" w:hRule="atLeast"/>
        </w:trPr>
        <w:tc>
          <w:tcPr>
            <w:tcW w:w="1221" w:type="dxa"/>
            <w:tcBorders/>
            <w:vAlign w:val="center"/>
          </w:tcPr>
          <w:p>
            <w:pPr>
              <w:pStyle w:val="Normal"/>
              <w:widowControl/>
              <w:suppressAutoHyphens w:val="false"/>
              <w:spacing w:before="0" w:after="0"/>
              <w:jc w:val="center"/>
              <w:rPr>
                <w:rFonts w:cs="Calibri"/>
                <w:sz w:val="18"/>
                <w:szCs w:val="18"/>
              </w:rPr>
            </w:pPr>
            <w:r>
              <w:rPr>
                <w:rFonts w:eastAsia="Times New Roman" w:cs="Calibri" w:ascii="Calibri" w:hAnsi="Calibri"/>
                <w:kern w:val="0"/>
                <w:sz w:val="18"/>
                <w:szCs w:val="18"/>
                <w:lang w:val="it-IT" w:eastAsia="en-US" w:bidi="ar-SA"/>
              </w:rPr>
              <w:t>Ex Asl Pistoia</w:t>
            </w:r>
          </w:p>
        </w:tc>
        <w:tc>
          <w:tcPr>
            <w:tcW w:w="962"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291963</w:t>
            </w:r>
          </w:p>
        </w:tc>
        <w:tc>
          <w:tcPr>
            <w:tcW w:w="10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156632</w:t>
            </w:r>
          </w:p>
        </w:tc>
        <w:tc>
          <w:tcPr>
            <w:tcW w:w="998"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81025</w:t>
            </w:r>
          </w:p>
        </w:tc>
        <w:tc>
          <w:tcPr>
            <w:tcW w:w="10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184807</w:t>
            </w:r>
          </w:p>
        </w:tc>
        <w:tc>
          <w:tcPr>
            <w:tcW w:w="1002"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116309</w:t>
            </w:r>
          </w:p>
        </w:tc>
        <w:tc>
          <w:tcPr>
            <w:tcW w:w="1298"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11695</w:t>
            </w:r>
          </w:p>
        </w:tc>
        <w:tc>
          <w:tcPr>
            <w:tcW w:w="13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6759</w:t>
            </w:r>
          </w:p>
        </w:tc>
        <w:tc>
          <w:tcPr>
            <w:tcW w:w="1141"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58%</w:t>
            </w:r>
          </w:p>
        </w:tc>
      </w:tr>
      <w:tr>
        <w:trPr>
          <w:trHeight w:val="486" w:hRule="atLeast"/>
        </w:trPr>
        <w:tc>
          <w:tcPr>
            <w:tcW w:w="1221" w:type="dxa"/>
            <w:tcBorders/>
            <w:vAlign w:val="center"/>
          </w:tcPr>
          <w:p>
            <w:pPr>
              <w:pStyle w:val="Normal"/>
              <w:widowControl/>
              <w:suppressAutoHyphens w:val="false"/>
              <w:spacing w:before="0" w:after="0"/>
              <w:jc w:val="center"/>
              <w:rPr>
                <w:rFonts w:cs="Calibri"/>
                <w:sz w:val="18"/>
                <w:szCs w:val="18"/>
              </w:rPr>
            </w:pPr>
            <w:r>
              <w:rPr>
                <w:rFonts w:eastAsia="Times New Roman" w:cs="Calibri" w:ascii="Calibri" w:hAnsi="Calibri"/>
                <w:kern w:val="0"/>
                <w:sz w:val="18"/>
                <w:szCs w:val="18"/>
                <w:lang w:val="it-IT" w:eastAsia="en-US" w:bidi="ar-SA"/>
              </w:rPr>
              <w:t>Ex Asl Prato</w:t>
            </w:r>
          </w:p>
        </w:tc>
        <w:tc>
          <w:tcPr>
            <w:tcW w:w="962"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253123</w:t>
            </w:r>
          </w:p>
        </w:tc>
        <w:tc>
          <w:tcPr>
            <w:tcW w:w="10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134760</w:t>
            </w:r>
          </w:p>
        </w:tc>
        <w:tc>
          <w:tcPr>
            <w:tcW w:w="998"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104078</w:t>
            </w:r>
          </w:p>
        </w:tc>
        <w:tc>
          <w:tcPr>
            <w:tcW w:w="10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159835</w:t>
            </w:r>
          </w:p>
        </w:tc>
        <w:tc>
          <w:tcPr>
            <w:tcW w:w="1002"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112451</w:t>
            </w:r>
          </w:p>
        </w:tc>
        <w:tc>
          <w:tcPr>
            <w:tcW w:w="1298"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11638</w:t>
            </w:r>
          </w:p>
        </w:tc>
        <w:tc>
          <w:tcPr>
            <w:tcW w:w="13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10757</w:t>
            </w:r>
          </w:p>
        </w:tc>
        <w:tc>
          <w:tcPr>
            <w:tcW w:w="1141"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74%</w:t>
            </w:r>
          </w:p>
        </w:tc>
      </w:tr>
      <w:tr>
        <w:trPr>
          <w:trHeight w:val="517" w:hRule="atLeast"/>
        </w:trPr>
        <w:tc>
          <w:tcPr>
            <w:tcW w:w="1221" w:type="dxa"/>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Totale ASL Toscana Centro</w:t>
            </w:r>
          </w:p>
        </w:tc>
        <w:tc>
          <w:tcPr>
            <w:tcW w:w="962" w:type="dxa"/>
            <w:tcBorders/>
            <w:vAlign w:val="center"/>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1625544</w:t>
            </w:r>
          </w:p>
        </w:tc>
        <w:tc>
          <w:tcPr>
            <w:tcW w:w="1000" w:type="dxa"/>
            <w:tcBorders/>
            <w:vAlign w:val="center"/>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831010</w:t>
            </w:r>
          </w:p>
        </w:tc>
        <w:tc>
          <w:tcPr>
            <w:tcW w:w="998" w:type="dxa"/>
            <w:tcBorders/>
            <w:vAlign w:val="center"/>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535836</w:t>
            </w:r>
          </w:p>
        </w:tc>
        <w:tc>
          <w:tcPr>
            <w:tcW w:w="1000" w:type="dxa"/>
            <w:tcBorders/>
            <w:vAlign w:val="center"/>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987397</w:t>
            </w:r>
          </w:p>
        </w:tc>
        <w:tc>
          <w:tcPr>
            <w:tcW w:w="1002" w:type="dxa"/>
            <w:tcBorders/>
            <w:vAlign w:val="center"/>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615320</w:t>
            </w:r>
          </w:p>
        </w:tc>
        <w:tc>
          <w:tcPr>
            <w:tcW w:w="1298" w:type="dxa"/>
            <w:tcBorders/>
            <w:vAlign w:val="center"/>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11186</w:t>
            </w:r>
          </w:p>
        </w:tc>
        <w:tc>
          <w:tcPr>
            <w:tcW w:w="1300" w:type="dxa"/>
            <w:tcBorders/>
            <w:vAlign w:val="center"/>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7082</w:t>
            </w:r>
          </w:p>
        </w:tc>
        <w:tc>
          <w:tcPr>
            <w:tcW w:w="1141" w:type="dxa"/>
            <w:tcBorders/>
            <w:vAlign w:val="center"/>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63%</w:t>
            </w:r>
          </w:p>
        </w:tc>
      </w:tr>
    </w:tbl>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 xml:space="preserve">Il dato correlato all’intero 2021, evidenziato nella tabella (Tabella 20a) di cui sopra, mostra come non abbiamo ancora raggiunto il target regionale pari al 75% per quanto riguarda il Catchment Index (Rapporto Prenotazioni garantite/Prescrizioni riscontrate in un determinato periodo). Il mancato raggiungimento del target è confermato anche con i dati riferiti all’anno 2022 (Tabella 21); ma è importante far notare come il numero di prestazioni PRGLA erogate e garantite dall’Azienda nel 2022 superiore al 2021. Infatti, in virtù delle azioni intraprese dall’Azienda Sanitaria Toscana Centro nel recente periodo, che hanno visto il potenziamento del “Modello Competitivo” e della produttività aggiuntiva (grazie anche alle autorizzazioni di spesa concesse dalla Regione Toscana in merito ai piani di abbattimento liste di attesa, rif. DGRT 148/2022), il numero di prenotazioni garantite negli ambiti territoriali dell’ASL TC presenta nel 2022 un andamento crescente (soprattutto nel recente periodo) che tende agli ottimi livelli produttivi dei livelli pre pandemici. Nel confronto 2022 vs 2021, sono infatti oltre 30.000 le prestazioni diagnostiche in più nel 2022, garantite in ambito ASL TC; mentre per le visite siamo oltre 33.000 prestazioni in più.  Nonostante ciò, l’aumento ancor più marcato della domanda (prescrizioni), causato dalla probabile riemersione di richieste sommerse a causa della pandemia, non ha comportato effetti benefici sull’indicatore C.I. </w:t>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Tabella 21. Prescrizioni vs prenotazioni garantite dall’Azienda TC, anno 2022</w:t>
      </w:r>
    </w:p>
    <w:tbl>
      <w:tblPr>
        <w:tblStyle w:val="Tabellagriglia4-colore51"/>
        <w:tblW w:w="992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221"/>
        <w:gridCol w:w="962"/>
        <w:gridCol w:w="1000"/>
        <w:gridCol w:w="998"/>
        <w:gridCol w:w="1000"/>
        <w:gridCol w:w="1002"/>
        <w:gridCol w:w="1298"/>
        <w:gridCol w:w="1300"/>
        <w:gridCol w:w="1141"/>
      </w:tblGrid>
      <w:tr>
        <w:trPr>
          <w:trHeight w:val="479" w:hRule="atLeast"/>
        </w:trPr>
        <w:tc>
          <w:tcPr>
            <w:tcW w:w="9922" w:type="dxa"/>
            <w:gridSpan w:val="9"/>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Prescrizioni vs Prenotazioni garantite dall'Azienda anno 2022 - prestazioni PRGLA</w:t>
            </w:r>
          </w:p>
        </w:tc>
      </w:tr>
      <w:tr>
        <w:trPr>
          <w:trHeight w:val="496" w:hRule="atLeast"/>
        </w:trPr>
        <w:tc>
          <w:tcPr>
            <w:tcW w:w="1221" w:type="dxa"/>
            <w:vMerge w:val="restart"/>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Ambiti territoriali USL Toscana Centro</w:t>
            </w:r>
          </w:p>
        </w:tc>
        <w:tc>
          <w:tcPr>
            <w:tcW w:w="962" w:type="dxa"/>
            <w:vMerge w:val="restart"/>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Residenti</w:t>
            </w:r>
          </w:p>
        </w:tc>
        <w:tc>
          <w:tcPr>
            <w:tcW w:w="1998" w:type="dxa"/>
            <w:gridSpan w:val="2"/>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Visite</w:t>
            </w:r>
          </w:p>
        </w:tc>
        <w:tc>
          <w:tcPr>
            <w:tcW w:w="2002" w:type="dxa"/>
            <w:gridSpan w:val="2"/>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Diagnostica</w:t>
            </w:r>
          </w:p>
        </w:tc>
        <w:tc>
          <w:tcPr>
            <w:tcW w:w="1298" w:type="dxa"/>
            <w:vMerge w:val="restart"/>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Media prestazioni prescritte ogni 10.000 residenti</w:t>
            </w:r>
          </w:p>
        </w:tc>
        <w:tc>
          <w:tcPr>
            <w:tcW w:w="1300" w:type="dxa"/>
            <w:vMerge w:val="restart"/>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Media prestazioni garantite ogni 10.000 residenti</w:t>
            </w:r>
          </w:p>
        </w:tc>
        <w:tc>
          <w:tcPr>
            <w:tcW w:w="1141" w:type="dxa"/>
            <w:vMerge w:val="restart"/>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Catchment Index (target regionale pari al 75%)</w:t>
            </w:r>
          </w:p>
        </w:tc>
      </w:tr>
      <w:tr>
        <w:trPr>
          <w:trHeight w:val="479" w:hRule="atLeast"/>
        </w:trPr>
        <w:tc>
          <w:tcPr>
            <w:tcW w:w="1221" w:type="dxa"/>
            <w:vMerge w:val="continue"/>
            <w:tcBorders/>
            <w:vAlign w:val="center"/>
          </w:tcPr>
          <w:p>
            <w:pPr>
              <w:pStyle w:val="Normal"/>
              <w:widowControl/>
              <w:suppressAutoHyphens w:val="false"/>
              <w:spacing w:before="0" w:after="0"/>
              <w:jc w:val="left"/>
              <w:rPr>
                <w:rFonts w:cs="Calibri"/>
                <w:b/>
                <w:b/>
                <w:bCs/>
                <w:sz w:val="18"/>
                <w:szCs w:val="18"/>
              </w:rPr>
            </w:pPr>
            <w:r>
              <w:rPr>
                <w:rFonts w:eastAsia="Times New Roman" w:cs="Calibri"/>
                <w:b/>
                <w:bCs/>
                <w:kern w:val="0"/>
                <w:sz w:val="18"/>
                <w:szCs w:val="18"/>
                <w:lang w:val="it-IT" w:eastAsia="en-US" w:bidi="ar-SA"/>
              </w:rPr>
            </w:r>
          </w:p>
        </w:tc>
        <w:tc>
          <w:tcPr>
            <w:tcW w:w="962" w:type="dxa"/>
            <w:vMerge w:val="continue"/>
            <w:tcBorders/>
            <w:vAlign w:val="center"/>
          </w:tcPr>
          <w:p>
            <w:pPr>
              <w:pStyle w:val="Normal"/>
              <w:widowControl/>
              <w:suppressAutoHyphens w:val="false"/>
              <w:spacing w:before="0" w:after="0"/>
              <w:jc w:val="left"/>
              <w:rPr>
                <w:rFonts w:cs="Calibri"/>
                <w:b/>
                <w:b/>
                <w:bCs/>
                <w:sz w:val="18"/>
                <w:szCs w:val="18"/>
              </w:rPr>
            </w:pPr>
            <w:r>
              <w:rPr>
                <w:rFonts w:eastAsia="Times New Roman" w:cs="Calibri"/>
                <w:b/>
                <w:bCs/>
                <w:kern w:val="0"/>
                <w:sz w:val="18"/>
                <w:szCs w:val="18"/>
                <w:lang w:val="it-IT" w:eastAsia="en-US" w:bidi="ar-SA"/>
              </w:rPr>
            </w:r>
          </w:p>
        </w:tc>
        <w:tc>
          <w:tcPr>
            <w:tcW w:w="1000" w:type="dxa"/>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Prescrizioni</w:t>
            </w:r>
          </w:p>
        </w:tc>
        <w:tc>
          <w:tcPr>
            <w:tcW w:w="998" w:type="dxa"/>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Prenotazioni</w:t>
            </w:r>
          </w:p>
        </w:tc>
        <w:tc>
          <w:tcPr>
            <w:tcW w:w="1000" w:type="dxa"/>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Prescrizioni</w:t>
            </w:r>
          </w:p>
        </w:tc>
        <w:tc>
          <w:tcPr>
            <w:tcW w:w="1002" w:type="dxa"/>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Prenotazioni</w:t>
            </w:r>
          </w:p>
        </w:tc>
        <w:tc>
          <w:tcPr>
            <w:tcW w:w="1298" w:type="dxa"/>
            <w:vMerge w:val="continue"/>
            <w:tcBorders/>
            <w:vAlign w:val="center"/>
          </w:tcPr>
          <w:p>
            <w:pPr>
              <w:pStyle w:val="Normal"/>
              <w:widowControl/>
              <w:suppressAutoHyphens w:val="false"/>
              <w:spacing w:before="0" w:after="0"/>
              <w:jc w:val="left"/>
              <w:rPr>
                <w:rFonts w:cs="Calibri"/>
                <w:b/>
                <w:b/>
                <w:bCs/>
                <w:sz w:val="18"/>
                <w:szCs w:val="18"/>
              </w:rPr>
            </w:pPr>
            <w:r>
              <w:rPr>
                <w:rFonts w:eastAsia="Times New Roman" w:cs="Calibri"/>
                <w:b/>
                <w:bCs/>
                <w:kern w:val="0"/>
                <w:sz w:val="18"/>
                <w:szCs w:val="18"/>
                <w:lang w:val="it-IT" w:eastAsia="en-US" w:bidi="ar-SA"/>
              </w:rPr>
            </w:r>
          </w:p>
        </w:tc>
        <w:tc>
          <w:tcPr>
            <w:tcW w:w="1300" w:type="dxa"/>
            <w:vMerge w:val="continue"/>
            <w:tcBorders/>
            <w:vAlign w:val="center"/>
          </w:tcPr>
          <w:p>
            <w:pPr>
              <w:pStyle w:val="Normal"/>
              <w:widowControl/>
              <w:suppressAutoHyphens w:val="false"/>
              <w:spacing w:before="0" w:after="0"/>
              <w:jc w:val="left"/>
              <w:rPr>
                <w:rFonts w:cs="Calibri"/>
                <w:b/>
                <w:b/>
                <w:bCs/>
                <w:sz w:val="18"/>
                <w:szCs w:val="18"/>
              </w:rPr>
            </w:pPr>
            <w:r>
              <w:rPr>
                <w:rFonts w:eastAsia="Times New Roman" w:cs="Calibri"/>
                <w:b/>
                <w:bCs/>
                <w:kern w:val="0"/>
                <w:sz w:val="18"/>
                <w:szCs w:val="18"/>
                <w:lang w:val="it-IT" w:eastAsia="en-US" w:bidi="ar-SA"/>
              </w:rPr>
            </w:r>
          </w:p>
        </w:tc>
        <w:tc>
          <w:tcPr>
            <w:tcW w:w="1141" w:type="dxa"/>
            <w:vMerge w:val="continue"/>
            <w:tcBorders/>
            <w:vAlign w:val="center"/>
          </w:tcPr>
          <w:p>
            <w:pPr>
              <w:pStyle w:val="Normal"/>
              <w:widowControl/>
              <w:suppressAutoHyphens w:val="false"/>
              <w:spacing w:before="0" w:after="0"/>
              <w:jc w:val="left"/>
              <w:rPr>
                <w:rFonts w:cs="Calibri"/>
                <w:b/>
                <w:b/>
                <w:bCs/>
                <w:sz w:val="18"/>
                <w:szCs w:val="18"/>
              </w:rPr>
            </w:pPr>
            <w:r>
              <w:rPr>
                <w:rFonts w:eastAsia="Times New Roman" w:cs="Calibri"/>
                <w:b/>
                <w:bCs/>
                <w:kern w:val="0"/>
                <w:sz w:val="18"/>
                <w:szCs w:val="18"/>
                <w:lang w:val="it-IT" w:eastAsia="en-US" w:bidi="ar-SA"/>
              </w:rPr>
            </w:r>
          </w:p>
        </w:tc>
      </w:tr>
      <w:tr>
        <w:trPr>
          <w:trHeight w:val="489" w:hRule="atLeast"/>
        </w:trPr>
        <w:tc>
          <w:tcPr>
            <w:tcW w:w="1221" w:type="dxa"/>
            <w:tcBorders/>
            <w:vAlign w:val="center"/>
          </w:tcPr>
          <w:p>
            <w:pPr>
              <w:pStyle w:val="Normal"/>
              <w:widowControl/>
              <w:suppressAutoHyphens w:val="false"/>
              <w:spacing w:before="0" w:after="0"/>
              <w:jc w:val="center"/>
              <w:rPr>
                <w:rFonts w:cs="Calibri"/>
                <w:sz w:val="18"/>
                <w:szCs w:val="18"/>
              </w:rPr>
            </w:pPr>
            <w:r>
              <w:rPr>
                <w:rFonts w:eastAsia="Times New Roman" w:cs="Calibri" w:ascii="Calibri" w:hAnsi="Calibri"/>
                <w:kern w:val="0"/>
                <w:sz w:val="18"/>
                <w:szCs w:val="18"/>
                <w:lang w:val="it-IT" w:eastAsia="en-US" w:bidi="ar-SA"/>
              </w:rPr>
              <w:t>Ex Asl Firenze</w:t>
            </w:r>
          </w:p>
        </w:tc>
        <w:tc>
          <w:tcPr>
            <w:tcW w:w="962"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838647</w:t>
            </w:r>
          </w:p>
        </w:tc>
        <w:tc>
          <w:tcPr>
            <w:tcW w:w="10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460324</w:t>
            </w:r>
          </w:p>
        </w:tc>
        <w:tc>
          <w:tcPr>
            <w:tcW w:w="998"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312382</w:t>
            </w:r>
          </w:p>
        </w:tc>
        <w:tc>
          <w:tcPr>
            <w:tcW w:w="10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570752</w:t>
            </w:r>
          </w:p>
        </w:tc>
        <w:tc>
          <w:tcPr>
            <w:tcW w:w="1002"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331596</w:t>
            </w:r>
          </w:p>
        </w:tc>
        <w:tc>
          <w:tcPr>
            <w:tcW w:w="1298"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12295</w:t>
            </w:r>
          </w:p>
        </w:tc>
        <w:tc>
          <w:tcPr>
            <w:tcW w:w="13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7679</w:t>
            </w:r>
          </w:p>
        </w:tc>
        <w:tc>
          <w:tcPr>
            <w:tcW w:w="1141"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62%</w:t>
            </w:r>
          </w:p>
        </w:tc>
      </w:tr>
      <w:tr>
        <w:trPr>
          <w:trHeight w:val="486" w:hRule="atLeast"/>
        </w:trPr>
        <w:tc>
          <w:tcPr>
            <w:tcW w:w="1221" w:type="dxa"/>
            <w:tcBorders/>
            <w:vAlign w:val="center"/>
          </w:tcPr>
          <w:p>
            <w:pPr>
              <w:pStyle w:val="Normal"/>
              <w:widowControl/>
              <w:suppressAutoHyphens w:val="false"/>
              <w:spacing w:before="0" w:after="0"/>
              <w:jc w:val="center"/>
              <w:rPr>
                <w:rFonts w:cs="Calibri"/>
                <w:sz w:val="18"/>
                <w:szCs w:val="18"/>
              </w:rPr>
            </w:pPr>
            <w:r>
              <w:rPr>
                <w:rFonts w:eastAsia="Times New Roman" w:cs="Calibri" w:ascii="Calibri" w:hAnsi="Calibri"/>
                <w:kern w:val="0"/>
                <w:sz w:val="18"/>
                <w:szCs w:val="18"/>
                <w:lang w:val="it-IT" w:eastAsia="en-US" w:bidi="ar-SA"/>
              </w:rPr>
              <w:t>Ex Asl Empoli</w:t>
            </w:r>
          </w:p>
        </w:tc>
        <w:tc>
          <w:tcPr>
            <w:tcW w:w="962"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241811</w:t>
            </w:r>
          </w:p>
        </w:tc>
        <w:tc>
          <w:tcPr>
            <w:tcW w:w="10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136752</w:t>
            </w:r>
          </w:p>
        </w:tc>
        <w:tc>
          <w:tcPr>
            <w:tcW w:w="998"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67719</w:t>
            </w:r>
          </w:p>
        </w:tc>
        <w:tc>
          <w:tcPr>
            <w:tcW w:w="10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156423</w:t>
            </w:r>
          </w:p>
        </w:tc>
        <w:tc>
          <w:tcPr>
            <w:tcW w:w="1002"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66955</w:t>
            </w:r>
          </w:p>
        </w:tc>
        <w:tc>
          <w:tcPr>
            <w:tcW w:w="1298"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12124</w:t>
            </w:r>
          </w:p>
        </w:tc>
        <w:tc>
          <w:tcPr>
            <w:tcW w:w="13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5569</w:t>
            </w:r>
          </w:p>
        </w:tc>
        <w:tc>
          <w:tcPr>
            <w:tcW w:w="1141"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46%</w:t>
            </w:r>
          </w:p>
        </w:tc>
      </w:tr>
      <w:tr>
        <w:trPr>
          <w:trHeight w:val="486" w:hRule="atLeast"/>
        </w:trPr>
        <w:tc>
          <w:tcPr>
            <w:tcW w:w="1221" w:type="dxa"/>
            <w:tcBorders/>
            <w:vAlign w:val="center"/>
          </w:tcPr>
          <w:p>
            <w:pPr>
              <w:pStyle w:val="Normal"/>
              <w:widowControl/>
              <w:suppressAutoHyphens w:val="false"/>
              <w:spacing w:before="0" w:after="0"/>
              <w:jc w:val="center"/>
              <w:rPr>
                <w:rFonts w:cs="Calibri"/>
                <w:sz w:val="18"/>
                <w:szCs w:val="18"/>
              </w:rPr>
            </w:pPr>
            <w:r>
              <w:rPr>
                <w:rFonts w:eastAsia="Times New Roman" w:cs="Calibri" w:ascii="Calibri" w:hAnsi="Calibri"/>
                <w:kern w:val="0"/>
                <w:sz w:val="18"/>
                <w:szCs w:val="18"/>
                <w:lang w:val="it-IT" w:eastAsia="en-US" w:bidi="ar-SA"/>
              </w:rPr>
              <w:t>Ex Asl Pistoia</w:t>
            </w:r>
          </w:p>
        </w:tc>
        <w:tc>
          <w:tcPr>
            <w:tcW w:w="962"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291963</w:t>
            </w:r>
          </w:p>
        </w:tc>
        <w:tc>
          <w:tcPr>
            <w:tcW w:w="10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172826</w:t>
            </w:r>
          </w:p>
        </w:tc>
        <w:tc>
          <w:tcPr>
            <w:tcW w:w="998"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84993</w:t>
            </w:r>
          </w:p>
        </w:tc>
        <w:tc>
          <w:tcPr>
            <w:tcW w:w="10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199136</w:t>
            </w:r>
          </w:p>
        </w:tc>
        <w:tc>
          <w:tcPr>
            <w:tcW w:w="1002"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128063</w:t>
            </w:r>
          </w:p>
        </w:tc>
        <w:tc>
          <w:tcPr>
            <w:tcW w:w="1298"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12740</w:t>
            </w:r>
          </w:p>
        </w:tc>
        <w:tc>
          <w:tcPr>
            <w:tcW w:w="13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7297</w:t>
            </w:r>
          </w:p>
        </w:tc>
        <w:tc>
          <w:tcPr>
            <w:tcW w:w="1141"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57%</w:t>
            </w:r>
          </w:p>
        </w:tc>
      </w:tr>
      <w:tr>
        <w:trPr>
          <w:trHeight w:val="486" w:hRule="atLeast"/>
        </w:trPr>
        <w:tc>
          <w:tcPr>
            <w:tcW w:w="1221" w:type="dxa"/>
            <w:tcBorders/>
            <w:vAlign w:val="center"/>
          </w:tcPr>
          <w:p>
            <w:pPr>
              <w:pStyle w:val="Normal"/>
              <w:widowControl/>
              <w:suppressAutoHyphens w:val="false"/>
              <w:spacing w:before="0" w:after="0"/>
              <w:jc w:val="center"/>
              <w:rPr>
                <w:rFonts w:cs="Calibri"/>
                <w:sz w:val="18"/>
                <w:szCs w:val="18"/>
              </w:rPr>
            </w:pPr>
            <w:r>
              <w:rPr>
                <w:rFonts w:eastAsia="Times New Roman" w:cs="Calibri" w:ascii="Calibri" w:hAnsi="Calibri"/>
                <w:kern w:val="0"/>
                <w:sz w:val="18"/>
                <w:szCs w:val="18"/>
                <w:lang w:val="it-IT" w:eastAsia="en-US" w:bidi="ar-SA"/>
              </w:rPr>
              <w:t>Ex Asl Prato</w:t>
            </w:r>
          </w:p>
        </w:tc>
        <w:tc>
          <w:tcPr>
            <w:tcW w:w="962"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253123</w:t>
            </w:r>
          </w:p>
        </w:tc>
        <w:tc>
          <w:tcPr>
            <w:tcW w:w="10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149775</w:t>
            </w:r>
          </w:p>
        </w:tc>
        <w:tc>
          <w:tcPr>
            <w:tcW w:w="998"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104447</w:t>
            </w:r>
          </w:p>
        </w:tc>
        <w:tc>
          <w:tcPr>
            <w:tcW w:w="10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172922</w:t>
            </w:r>
          </w:p>
        </w:tc>
        <w:tc>
          <w:tcPr>
            <w:tcW w:w="1002"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118761</w:t>
            </w:r>
          </w:p>
        </w:tc>
        <w:tc>
          <w:tcPr>
            <w:tcW w:w="1298"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12749</w:t>
            </w:r>
          </w:p>
        </w:tc>
        <w:tc>
          <w:tcPr>
            <w:tcW w:w="1300"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11523</w:t>
            </w:r>
          </w:p>
        </w:tc>
        <w:tc>
          <w:tcPr>
            <w:tcW w:w="1141" w:type="dxa"/>
            <w:tcBorders/>
            <w:vAlign w:val="center"/>
          </w:tcPr>
          <w:p>
            <w:pPr>
              <w:pStyle w:val="Normal"/>
              <w:widowControl/>
              <w:suppressAutoHyphens w:val="false"/>
              <w:spacing w:before="0" w:after="0"/>
              <w:jc w:val="center"/>
              <w:rPr>
                <w:rFonts w:cs="Calibri"/>
                <w:color w:val="000000"/>
                <w:sz w:val="18"/>
                <w:szCs w:val="18"/>
              </w:rPr>
            </w:pPr>
            <w:r>
              <w:rPr>
                <w:rFonts w:eastAsia="Times New Roman" w:cs="Calibri" w:ascii="Calibri" w:hAnsi="Calibri"/>
                <w:color w:val="000000"/>
                <w:kern w:val="0"/>
                <w:sz w:val="18"/>
                <w:szCs w:val="18"/>
                <w:lang w:val="it-IT" w:eastAsia="en-US" w:bidi="ar-SA"/>
              </w:rPr>
              <w:t>69%</w:t>
            </w:r>
          </w:p>
        </w:tc>
      </w:tr>
      <w:tr>
        <w:trPr>
          <w:trHeight w:val="517" w:hRule="atLeast"/>
        </w:trPr>
        <w:tc>
          <w:tcPr>
            <w:tcW w:w="1221" w:type="dxa"/>
            <w:tcBorders/>
            <w:vAlign w:val="center"/>
          </w:tcPr>
          <w:p>
            <w:pPr>
              <w:pStyle w:val="Normal"/>
              <w:widowControl/>
              <w:suppressAutoHyphens w:val="false"/>
              <w:spacing w:before="0" w:after="0"/>
              <w:jc w:val="center"/>
              <w:rPr>
                <w:rFonts w:cs="Calibri"/>
                <w:b/>
                <w:b/>
                <w:bCs/>
                <w:sz w:val="18"/>
                <w:szCs w:val="18"/>
              </w:rPr>
            </w:pPr>
            <w:r>
              <w:rPr>
                <w:rFonts w:eastAsia="Times New Roman" w:cs="Calibri" w:ascii="Calibri" w:hAnsi="Calibri"/>
                <w:b/>
                <w:bCs/>
                <w:kern w:val="0"/>
                <w:sz w:val="18"/>
                <w:szCs w:val="18"/>
                <w:lang w:val="it-IT" w:eastAsia="en-US" w:bidi="ar-SA"/>
              </w:rPr>
              <w:t>Totale ASL Toscana Centro</w:t>
            </w:r>
          </w:p>
        </w:tc>
        <w:tc>
          <w:tcPr>
            <w:tcW w:w="962" w:type="dxa"/>
            <w:tcBorders/>
            <w:vAlign w:val="center"/>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1625544</w:t>
            </w:r>
          </w:p>
        </w:tc>
        <w:tc>
          <w:tcPr>
            <w:tcW w:w="1000" w:type="dxa"/>
            <w:tcBorders/>
            <w:vAlign w:val="center"/>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919677</w:t>
            </w:r>
          </w:p>
        </w:tc>
        <w:tc>
          <w:tcPr>
            <w:tcW w:w="998" w:type="dxa"/>
            <w:tcBorders/>
            <w:vAlign w:val="center"/>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569541</w:t>
            </w:r>
          </w:p>
        </w:tc>
        <w:tc>
          <w:tcPr>
            <w:tcW w:w="1000" w:type="dxa"/>
            <w:tcBorders/>
            <w:vAlign w:val="center"/>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1099233</w:t>
            </w:r>
          </w:p>
        </w:tc>
        <w:tc>
          <w:tcPr>
            <w:tcW w:w="1002" w:type="dxa"/>
            <w:tcBorders/>
            <w:vAlign w:val="center"/>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645375</w:t>
            </w:r>
          </w:p>
        </w:tc>
        <w:tc>
          <w:tcPr>
            <w:tcW w:w="1298" w:type="dxa"/>
            <w:tcBorders/>
            <w:vAlign w:val="center"/>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12420</w:t>
            </w:r>
          </w:p>
        </w:tc>
        <w:tc>
          <w:tcPr>
            <w:tcW w:w="1300" w:type="dxa"/>
            <w:tcBorders/>
            <w:vAlign w:val="center"/>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7474</w:t>
            </w:r>
          </w:p>
        </w:tc>
        <w:tc>
          <w:tcPr>
            <w:tcW w:w="1141" w:type="dxa"/>
            <w:tcBorders/>
            <w:vAlign w:val="center"/>
          </w:tcPr>
          <w:p>
            <w:pPr>
              <w:pStyle w:val="Normal"/>
              <w:widowControl/>
              <w:suppressAutoHyphens w:val="false"/>
              <w:spacing w:before="0" w:after="0"/>
              <w:jc w:val="center"/>
              <w:rPr>
                <w:rFonts w:cs="Calibri"/>
                <w:b/>
                <w:b/>
                <w:bCs/>
                <w:color w:val="000000"/>
                <w:sz w:val="18"/>
                <w:szCs w:val="18"/>
              </w:rPr>
            </w:pPr>
            <w:r>
              <w:rPr>
                <w:rFonts w:eastAsia="Times New Roman" w:cs="Calibri" w:ascii="Calibri" w:hAnsi="Calibri"/>
                <w:b/>
                <w:bCs/>
                <w:color w:val="000000"/>
                <w:kern w:val="0"/>
                <w:sz w:val="18"/>
                <w:szCs w:val="18"/>
                <w:lang w:val="it-IT" w:eastAsia="en-US" w:bidi="ar-SA"/>
              </w:rPr>
              <w:t>60%</w:t>
            </w:r>
          </w:p>
        </w:tc>
      </w:tr>
    </w:tbl>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r>
      <w:r>
        <w:br w:type="page"/>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2.4.4.3 ANDAMENTO CATCHMENT INDEX – VISITE SPECIALISTICHE ASL TC</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Nell’ultimo monitoraggio disponibile (16-31 dicembre) il C.I. per le visite specialistiche è in miglioramento e ha raggiunto quota 65,6%, in miglioramento rispetto all’ultimo monitoraggio di quasi 7 punti percentuali (Figura 7).</w:t>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Figura 7. Andamento Catchment Index per le visite specialistiche, AUSL TC 2021-2022</w:t>
      </w:r>
    </w:p>
    <w:p>
      <w:pPr>
        <w:pStyle w:val="Normal"/>
        <w:spacing w:lineRule="atLeast" w:line="320" w:before="0" w:after="120"/>
        <w:jc w:val="both"/>
        <w:rPr>
          <w:rFonts w:ascii="Calibri" w:hAnsi="Calibri" w:eastAsia="Calibri" w:cs="Calibri"/>
          <w:sz w:val="22"/>
          <w:szCs w:val="22"/>
        </w:rPr>
      </w:pPr>
      <w:r>
        <w:rPr/>
        <w:drawing>
          <wp:inline distT="0" distB="0" distL="0" distR="0">
            <wp:extent cx="5391785" cy="3048000"/>
            <wp:effectExtent l="0" t="0" r="0" b="0"/>
            <wp:docPr id="9" name="Immagin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65" descr=""/>
                    <pic:cNvPicPr>
                      <a:picLocks noChangeAspect="1" noChangeArrowheads="1"/>
                    </pic:cNvPicPr>
                  </pic:nvPicPr>
                  <pic:blipFill>
                    <a:blip r:embed="rId10"/>
                    <a:stretch>
                      <a:fillRect/>
                    </a:stretch>
                  </pic:blipFill>
                  <pic:spPr bwMode="auto">
                    <a:xfrm>
                      <a:off x="0" y="0"/>
                      <a:ext cx="5391785" cy="3048000"/>
                    </a:xfrm>
                    <a:prstGeom prst="rect">
                      <a:avLst/>
                    </a:prstGeom>
                  </pic:spPr>
                </pic:pic>
              </a:graphicData>
            </a:graphic>
          </wp:inline>
        </w:drawing>
      </w:r>
    </w:p>
    <w:p>
      <w:pPr>
        <w:pStyle w:val="Normal"/>
        <w:suppressAutoHyphens w:val="false"/>
        <w:rPr>
          <w:rFonts w:ascii="Calibri" w:hAnsi="Calibri" w:eastAsia="Calibri" w:cs="Calibri"/>
          <w:b/>
          <w:b/>
          <w:sz w:val="22"/>
          <w:szCs w:val="22"/>
        </w:rPr>
      </w:pPr>
      <w:r>
        <w:rPr>
          <w:rFonts w:eastAsia="Calibri" w:cs="Calibri" w:ascii="Calibri" w:hAnsi="Calibri"/>
          <w:b/>
          <w:sz w:val="22"/>
          <w:szCs w:val="22"/>
        </w:rPr>
      </w:r>
      <w:r>
        <w:br w:type="page"/>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2.4.4.4 ANDAMENTO CATCHMENT INDEX – DIAGNOSTICA ASL TC</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 xml:space="preserve">Nell’ultimo monitoraggio disponibile (16 – 31 dicembre) il C.I. per la diagnostica è in miglioramento e ha raggiunto quota 60,8%, in miglioramento rispetto all’ultimo monitoraggio di quasi 6 punti percentuali (Figura 8). </w:t>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Figura 8. Andamento Catchment Index per la diagnostica, AUSL TC 2021-2022</w:t>
      </w:r>
    </w:p>
    <w:p>
      <w:pPr>
        <w:pStyle w:val="Normal"/>
        <w:spacing w:lineRule="atLeast" w:line="320" w:before="0" w:after="120"/>
        <w:jc w:val="both"/>
        <w:rPr>
          <w:rFonts w:ascii="Calibri" w:hAnsi="Calibri" w:eastAsia="Calibri" w:cs="Calibri"/>
          <w:sz w:val="22"/>
          <w:szCs w:val="22"/>
        </w:rPr>
      </w:pPr>
      <w:r>
        <w:rPr/>
        <w:drawing>
          <wp:inline distT="0" distB="0" distL="0" distR="0">
            <wp:extent cx="5419725" cy="3081655"/>
            <wp:effectExtent l="0" t="0" r="0" b="0"/>
            <wp:docPr id="10" name="Immagin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64" descr=""/>
                    <pic:cNvPicPr>
                      <a:picLocks noChangeAspect="1" noChangeArrowheads="1"/>
                    </pic:cNvPicPr>
                  </pic:nvPicPr>
                  <pic:blipFill>
                    <a:blip r:embed="rId11"/>
                    <a:stretch>
                      <a:fillRect/>
                    </a:stretch>
                  </pic:blipFill>
                  <pic:spPr bwMode="auto">
                    <a:xfrm>
                      <a:off x="0" y="0"/>
                      <a:ext cx="5419725" cy="3081655"/>
                    </a:xfrm>
                    <a:prstGeom prst="rect">
                      <a:avLst/>
                    </a:prstGeom>
                  </pic:spPr>
                </pic:pic>
              </a:graphicData>
            </a:graphic>
          </wp:inline>
        </w:drawing>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2.4.4.5 SIMULAZIONE C.I. IN CASO DI MIGLIORE APPROPRIATEZZA PRESCRITTIVA - Visite</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Si sono prese come esempio le prescrizioni e le prenotazioni riscontrate nel mese di maggio 2022 (Figura 9).</w:t>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Figura 9. Simulazione Catchment Index</w:t>
      </w:r>
    </w:p>
    <w:p>
      <w:pPr>
        <w:pStyle w:val="Normal"/>
        <w:spacing w:lineRule="atLeast" w:line="320" w:before="0" w:after="120"/>
        <w:jc w:val="both"/>
        <w:rPr>
          <w:rFonts w:ascii="Calibri" w:hAnsi="Calibri" w:eastAsia="Calibri" w:cs="Calibri"/>
          <w:sz w:val="22"/>
          <w:szCs w:val="22"/>
        </w:rPr>
      </w:pPr>
      <w:r>
        <w:rPr/>
        <w:drawing>
          <wp:inline distT="0" distB="0" distL="0" distR="0">
            <wp:extent cx="6280785" cy="3355975"/>
            <wp:effectExtent l="0" t="0" r="0" b="0"/>
            <wp:docPr id="11" name="Immagin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61" descr=""/>
                    <pic:cNvPicPr>
                      <a:picLocks noChangeAspect="1" noChangeArrowheads="1"/>
                    </pic:cNvPicPr>
                  </pic:nvPicPr>
                  <pic:blipFill>
                    <a:blip r:embed="rId12"/>
                    <a:stretch>
                      <a:fillRect/>
                    </a:stretch>
                  </pic:blipFill>
                  <pic:spPr bwMode="auto">
                    <a:xfrm>
                      <a:off x="0" y="0"/>
                      <a:ext cx="6280785" cy="3355975"/>
                    </a:xfrm>
                    <a:prstGeom prst="rect">
                      <a:avLst/>
                    </a:prstGeom>
                  </pic:spPr>
                </pic:pic>
              </a:graphicData>
            </a:graphic>
          </wp:inline>
        </w:drawing>
      </w:r>
    </w:p>
    <w:p>
      <w:pPr>
        <w:pStyle w:val="Titolo2"/>
        <w:spacing w:lineRule="atLeast" w:line="320" w:before="0" w:after="120"/>
        <w:jc w:val="both"/>
        <w:rPr>
          <w:rFonts w:ascii="Calibri" w:hAnsi="Calibri" w:cs="Calibri"/>
          <w:i w:val="false"/>
          <w:i w:val="false"/>
          <w:iCs w:val="false"/>
          <w:sz w:val="22"/>
          <w:szCs w:val="22"/>
        </w:rPr>
      </w:pPr>
      <w:bookmarkStart w:id="29" w:name="_Toc152228349"/>
      <w:r>
        <w:rPr>
          <w:rFonts w:cs="Calibri" w:ascii="Calibri" w:hAnsi="Calibri"/>
          <w:i w:val="false"/>
          <w:iCs w:val="false"/>
          <w:sz w:val="22"/>
          <w:szCs w:val="22"/>
        </w:rPr>
        <w:t>2.4.5 TEMPI DI ATTESA PRESTAZIONI AMBULATORIALI</w:t>
      </w:r>
      <w:bookmarkEnd w:id="29"/>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Le prestazioni sono erogate generalmente nei tempi previsti dalla normativa nazionale vigente (Figura 10a e 10b); non si negano ambiti di miglioramento su specifiche visite specialistiche e su alcune prestazioni diagnostiche, specialmente se il riferimento sono i target regionali più stringenti rispetto a quelli nazionali, circa i tempi di attesa.  Ecco la performance per l’ASL TC, correlata all’ultimo monitoraggio ufficiale (prenotazioni registrate tra il 16 e il 31 dicembre 2022) sulle visite specialistiche, con confronto isoperiodo 2021. Per la diagnostica la situazione, come vedremo, è similare (Figura 11a e 11b).</w:t>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Figura 10a: VISITE SPECIALISTICHE: Sintesi aziendale prenotazioni entro e non oltre i tempi di attesa regionali sulla prima disponibilità, 16 e il 31 dicembre 2022</w:t>
      </w:r>
    </w:p>
    <w:p>
      <w:pPr>
        <w:pStyle w:val="Normal"/>
        <w:spacing w:lineRule="atLeast" w:line="320" w:before="0" w:after="120"/>
        <w:jc w:val="both"/>
        <w:rPr>
          <w:rFonts w:ascii="Calibri" w:hAnsi="Calibri" w:eastAsia="Calibri" w:cs="Calibri"/>
          <w:sz w:val="22"/>
          <w:szCs w:val="22"/>
        </w:rPr>
      </w:pPr>
      <w:r>
        <w:rPr/>
        <w:drawing>
          <wp:inline distT="0" distB="0" distL="0" distR="0">
            <wp:extent cx="5226050" cy="2962275"/>
            <wp:effectExtent l="0" t="0" r="0" b="0"/>
            <wp:docPr id="12" name="Immagine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05" descr=""/>
                    <pic:cNvPicPr>
                      <a:picLocks noChangeAspect="1" noChangeArrowheads="1"/>
                    </pic:cNvPicPr>
                  </pic:nvPicPr>
                  <pic:blipFill>
                    <a:blip r:embed="rId13"/>
                    <a:stretch>
                      <a:fillRect/>
                    </a:stretch>
                  </pic:blipFill>
                  <pic:spPr bwMode="auto">
                    <a:xfrm>
                      <a:off x="0" y="0"/>
                      <a:ext cx="5226050" cy="2962275"/>
                    </a:xfrm>
                    <a:prstGeom prst="rect">
                      <a:avLst/>
                    </a:prstGeom>
                  </pic:spPr>
                </pic:pic>
              </a:graphicData>
            </a:graphic>
          </wp:inline>
        </w:drawing>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Figura 10b: VISITE SPECIALISTICHE: Sintesi aziendale prenotazioni entro e non oltre i tempi di attesa regionali sulla prima disponibilità, 16 e il 31 dicembre 2021</w:t>
      </w:r>
    </w:p>
    <w:p>
      <w:pPr>
        <w:pStyle w:val="Normal"/>
        <w:spacing w:lineRule="atLeast" w:line="320" w:before="0" w:after="120"/>
        <w:jc w:val="both"/>
        <w:rPr>
          <w:rFonts w:ascii="Calibri" w:hAnsi="Calibri" w:eastAsia="Calibri" w:cs="Calibri"/>
          <w:sz w:val="22"/>
          <w:szCs w:val="22"/>
        </w:rPr>
      </w:pPr>
      <w:r>
        <w:rPr/>
        <w:drawing>
          <wp:inline distT="0" distB="0" distL="0" distR="0">
            <wp:extent cx="5314950" cy="3035935"/>
            <wp:effectExtent l="0" t="0" r="0" b="0"/>
            <wp:docPr id="13" name="Immagin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40" descr=""/>
                    <pic:cNvPicPr>
                      <a:picLocks noChangeAspect="1" noChangeArrowheads="1"/>
                    </pic:cNvPicPr>
                  </pic:nvPicPr>
                  <pic:blipFill>
                    <a:blip r:embed="rId14"/>
                    <a:stretch>
                      <a:fillRect/>
                    </a:stretch>
                  </pic:blipFill>
                  <pic:spPr bwMode="auto">
                    <a:xfrm>
                      <a:off x="0" y="0"/>
                      <a:ext cx="5314950" cy="3035935"/>
                    </a:xfrm>
                    <a:prstGeom prst="rect">
                      <a:avLst/>
                    </a:prstGeom>
                  </pic:spPr>
                </pic:pic>
              </a:graphicData>
            </a:graphic>
          </wp:inline>
        </w:drawing>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Figura 11a: DIAGNOSTICA: Sintesi aziendale prenotazioni entro e non oltre i tempi di attesa regionali sulla prima disponibilità, 16 e il 31 dicembre 2022</w:t>
      </w:r>
    </w:p>
    <w:p>
      <w:pPr>
        <w:pStyle w:val="Normal"/>
        <w:spacing w:lineRule="atLeast" w:line="320" w:before="0" w:after="120"/>
        <w:jc w:val="both"/>
        <w:rPr>
          <w:rFonts w:ascii="Calibri" w:hAnsi="Calibri" w:eastAsia="Calibri" w:cs="Calibri"/>
          <w:sz w:val="22"/>
          <w:szCs w:val="22"/>
        </w:rPr>
      </w:pPr>
      <w:r>
        <w:rPr/>
        <mc:AlternateContent>
          <mc:Choice Requires="wps">
            <w:drawing>
              <wp:anchor behindDoc="0" distT="0" distB="0" distL="0" distR="0" simplePos="0" locked="0" layoutInCell="0" allowOverlap="1" relativeHeight="149" wp14:anchorId="1DF12612">
                <wp:simplePos x="0" y="0"/>
                <wp:positionH relativeFrom="column">
                  <wp:posOffset>6835140</wp:posOffset>
                </wp:positionH>
                <wp:positionV relativeFrom="paragraph">
                  <wp:posOffset>4485005</wp:posOffset>
                </wp:positionV>
                <wp:extent cx="555625" cy="299085"/>
                <wp:effectExtent l="10160" t="10160" r="16510" b="15875"/>
                <wp:wrapNone/>
                <wp:docPr id="14" name="Ovale 102"/>
                <a:graphic xmlns:a="http://schemas.openxmlformats.org/drawingml/2006/main">
                  <a:graphicData uri="http://schemas.microsoft.com/office/word/2010/wordprocessingShape">
                    <wps:wsp>
                      <wps:cNvSpPr/>
                      <wps:spPr>
                        <a:xfrm>
                          <a:off x="0" y="0"/>
                          <a:ext cx="555120" cy="298440"/>
                        </a:xfrm>
                        <a:prstGeom prst="ellipse">
                          <a:avLst/>
                        </a:prstGeom>
                        <a:noFill/>
                        <a:ln w="19050">
                          <a:solidFill>
                            <a:srgbClr val="ff0000"/>
                          </a:solidFill>
                          <a:round/>
                        </a:ln>
                      </wps:spPr>
                      <wps:style>
                        <a:lnRef idx="0"/>
                        <a:fillRef idx="0"/>
                        <a:effectRef idx="0"/>
                        <a:fontRef idx="minor"/>
                      </wps:style>
                      <wps:bodyPr/>
                    </wps:wsp>
                  </a:graphicData>
                </a:graphic>
              </wp:anchor>
            </w:drawing>
          </mc:Choice>
          <mc:Fallback>
            <w:pict>
              <v:oval id="shape_0" ID="Ovale 102" path="l-2147483648,-2147483643l-2147483628,-2147483627l-2147483648,-2147483643l-2147483626,-2147483625xe" stroked="t" style="position:absolute;margin-left:538.2pt;margin-top:353.15pt;width:43.65pt;height:23.45pt;mso-wrap-style:none;v-text-anchor:middle" wp14:anchorId="1DF12612">
                <v:fill o:detectmouseclick="t" on="false"/>
                <v:stroke color="red" weight="19080" joinstyle="round" endcap="flat"/>
                <w10:wrap type="none"/>
              </v:oval>
            </w:pict>
          </mc:Fallback>
        </mc:AlternateContent>
        <w:drawing>
          <wp:inline distT="0" distB="0" distL="0" distR="0">
            <wp:extent cx="6059805" cy="3434715"/>
            <wp:effectExtent l="0" t="0" r="0" b="0"/>
            <wp:docPr id="15" name="Immagin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37" descr=""/>
                    <pic:cNvPicPr>
                      <a:picLocks noChangeAspect="1" noChangeArrowheads="1"/>
                    </pic:cNvPicPr>
                  </pic:nvPicPr>
                  <pic:blipFill>
                    <a:blip r:embed="rId15"/>
                    <a:stretch>
                      <a:fillRect/>
                    </a:stretch>
                  </pic:blipFill>
                  <pic:spPr bwMode="auto">
                    <a:xfrm>
                      <a:off x="0" y="0"/>
                      <a:ext cx="6059805" cy="3434715"/>
                    </a:xfrm>
                    <a:prstGeom prst="rect">
                      <a:avLst/>
                    </a:prstGeom>
                  </pic:spPr>
                </pic:pic>
              </a:graphicData>
            </a:graphic>
          </wp:inline>
        </w:drawing>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Figura 11b: DIAGNOSTICA: Sintesi aziendale prenotazioni entro e non oltre i tempi di attesa regionali sulla prima disponibilità, 16 e il 31 dicembre 2022</w:t>
      </w:r>
    </w:p>
    <w:p>
      <w:pPr>
        <w:pStyle w:val="Normal"/>
        <w:spacing w:lineRule="atLeast" w:line="320" w:before="0" w:after="120"/>
        <w:jc w:val="both"/>
        <w:rPr>
          <w:rFonts w:ascii="Calibri" w:hAnsi="Calibri" w:eastAsia="Calibri" w:cs="Calibri"/>
          <w:sz w:val="22"/>
          <w:szCs w:val="22"/>
        </w:rPr>
      </w:pPr>
      <w:r>
        <w:rPr/>
        <mc:AlternateContent>
          <mc:Choice Requires="wps">
            <w:drawing>
              <wp:anchor behindDoc="0" distT="0" distB="0" distL="0" distR="0" simplePos="0" locked="0" layoutInCell="0" allowOverlap="1" relativeHeight="150" wp14:anchorId="7395EFEF">
                <wp:simplePos x="0" y="0"/>
                <wp:positionH relativeFrom="column">
                  <wp:posOffset>6835140</wp:posOffset>
                </wp:positionH>
                <wp:positionV relativeFrom="paragraph">
                  <wp:posOffset>4544695</wp:posOffset>
                </wp:positionV>
                <wp:extent cx="555625" cy="299085"/>
                <wp:effectExtent l="17145" t="12700" r="9525" b="13335"/>
                <wp:wrapNone/>
                <wp:docPr id="16" name="Ovale 101"/>
                <a:graphic xmlns:a="http://schemas.openxmlformats.org/drawingml/2006/main">
                  <a:graphicData uri="http://schemas.microsoft.com/office/word/2010/wordprocessingShape">
                    <wps:wsp>
                      <wps:cNvSpPr/>
                      <wps:spPr>
                        <a:xfrm>
                          <a:off x="0" y="0"/>
                          <a:ext cx="555120" cy="298440"/>
                        </a:xfrm>
                        <a:prstGeom prst="ellipse">
                          <a:avLst/>
                        </a:prstGeom>
                        <a:noFill/>
                        <a:ln w="19050">
                          <a:solidFill>
                            <a:srgbClr val="ff0000"/>
                          </a:solidFill>
                          <a:round/>
                        </a:ln>
                      </wps:spPr>
                      <wps:style>
                        <a:lnRef idx="0"/>
                        <a:fillRef idx="0"/>
                        <a:effectRef idx="0"/>
                        <a:fontRef idx="minor"/>
                      </wps:style>
                      <wps:bodyPr/>
                    </wps:wsp>
                  </a:graphicData>
                </a:graphic>
              </wp:anchor>
            </w:drawing>
          </mc:Choice>
          <mc:Fallback>
            <w:pict>
              <v:oval id="shape_0" ID="Ovale 101" path="l-2147483648,-2147483643l-2147483628,-2147483627l-2147483648,-2147483643l-2147483626,-2147483625xe" stroked="t" style="position:absolute;margin-left:538.2pt;margin-top:357.85pt;width:43.65pt;height:23.45pt;mso-wrap-style:none;v-text-anchor:middle" wp14:anchorId="7395EFEF">
                <v:fill o:detectmouseclick="t" on="false"/>
                <v:stroke color="red" weight="19080" joinstyle="round" endcap="flat"/>
                <w10:wrap type="none"/>
              </v:oval>
            </w:pict>
          </mc:Fallback>
        </mc:AlternateContent>
        <w:drawing>
          <wp:inline distT="0" distB="0" distL="0" distR="0">
            <wp:extent cx="6177280" cy="3496945"/>
            <wp:effectExtent l="0" t="0" r="0" b="0"/>
            <wp:docPr id="17" name="Immagin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36" descr=""/>
                    <pic:cNvPicPr>
                      <a:picLocks noChangeAspect="1" noChangeArrowheads="1"/>
                    </pic:cNvPicPr>
                  </pic:nvPicPr>
                  <pic:blipFill>
                    <a:blip r:embed="rId16"/>
                    <a:stretch>
                      <a:fillRect/>
                    </a:stretch>
                  </pic:blipFill>
                  <pic:spPr bwMode="auto">
                    <a:xfrm>
                      <a:off x="0" y="0"/>
                      <a:ext cx="6177280" cy="3496945"/>
                    </a:xfrm>
                    <a:prstGeom prst="rect">
                      <a:avLst/>
                    </a:prstGeom>
                  </pic:spPr>
                </pic:pic>
              </a:graphicData>
            </a:graphic>
          </wp:inline>
        </w:drawing>
      </w:r>
    </w:p>
    <w:p>
      <w:pPr>
        <w:pStyle w:val="Normal"/>
        <w:suppressAutoHyphens w:val="false"/>
        <w:rPr>
          <w:rFonts w:ascii="Calibri" w:hAnsi="Calibri" w:eastAsia="Calibri" w:cs="Calibri"/>
          <w:sz w:val="22"/>
          <w:szCs w:val="22"/>
        </w:rPr>
      </w:pPr>
      <w:r>
        <w:rPr>
          <w:rFonts w:eastAsia="Calibri" w:cs="Calibri" w:ascii="Calibri" w:hAnsi="Calibri"/>
          <w:sz w:val="22"/>
          <w:szCs w:val="22"/>
        </w:rPr>
      </w:r>
      <w:r>
        <w:br w:type="page"/>
      </w:r>
    </w:p>
    <w:p>
      <w:pPr>
        <w:pStyle w:val="Titolo2"/>
        <w:spacing w:lineRule="atLeast" w:line="320" w:before="0" w:after="120"/>
        <w:jc w:val="both"/>
        <w:rPr>
          <w:rFonts w:ascii="Calibri" w:hAnsi="Calibri" w:cs="Calibri"/>
          <w:i w:val="false"/>
          <w:i w:val="false"/>
          <w:iCs w:val="false"/>
          <w:sz w:val="22"/>
          <w:szCs w:val="22"/>
        </w:rPr>
      </w:pPr>
      <w:bookmarkStart w:id="30" w:name="_Toc152228350"/>
      <w:r>
        <w:rPr>
          <w:rFonts w:cs="Calibri" w:ascii="Calibri" w:hAnsi="Calibri"/>
          <w:i w:val="false"/>
          <w:iCs w:val="false"/>
          <w:sz w:val="22"/>
          <w:szCs w:val="22"/>
        </w:rPr>
        <w:t>2.4.6 TEMPI DI ATTESA CHIRURGIA ELETTIVA</w:t>
      </w:r>
      <w:bookmarkEnd w:id="30"/>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 xml:space="preserve">In termini di performance correlata alla produzione chirurgica, anche in piena emergenza, l’Azienda è riuscita a rispondere in tutti gli ambiti territoriali di competenza alle urgenze multispecialistiche (anche differibili), alle emergenze e alla traumatologia, nonché è stata generalmente soddisfatta la domanda elettiva non procrastinabile nei tempi previsti dalla normativa vigente. Non si negano criticità correlate ai tempi di attesa relativi alla casistica a più bassa priorità (classi B, C e D), la cui produzione è stata fortemente condizionata nell’ultimo biennio dalle ripercussioni correlate alla pandemia Covid.  In Azienda vi sono 19695 pazienti in lista di attesa per un intervento chirurgico elettivo (dato aggiornato a gennaio 2023); circa il 70% della lista è caratterizzata da casistica di classe C (tempi di attesa massimi 180 gg) o D (tempo max 365 gg). Di seguito il grafico relativo all’andamento della numerosità della lista di attesa chirurgica ASL TC dall’inizio della pandemia; lista che, nonostante la coda dell’emergenza pandemica nazionale, risulta essere in fase decrescente nell’ultimo semestre, soprattutto grazie ai recenti interventi dell’Azienda (Potenziamento dell’attività service presso il privato convenzionato e della produttività aggiuntiva), correlati alla DGRT 148/2022, volti ad aumentare la produzione (Figura 12). </w:t>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Figura 12: andamento temporale del numero di pazienti in lista d’attesa presso l’Azienda USL Toscana Centro (regime ricovero + ambulatoriale complessa).  Dati al netto dell’Oculistica. Fonte dati: Argos</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r>
    </w:p>
    <w:p>
      <w:pPr>
        <w:pStyle w:val="Normal"/>
        <w:spacing w:lineRule="atLeast" w:line="320" w:before="0" w:after="120"/>
        <w:jc w:val="both"/>
        <w:rPr>
          <w:rFonts w:ascii="Calibri" w:hAnsi="Calibri" w:eastAsia="Calibri" w:cs="Calibri"/>
          <w:sz w:val="22"/>
          <w:szCs w:val="22"/>
        </w:rPr>
      </w:pPr>
      <w:r>
        <w:rPr/>
        <mc:AlternateContent>
          <mc:Choice Requires="wpg">
            <w:drawing>
              <wp:anchor behindDoc="0" distT="0" distB="0" distL="0" distR="0" simplePos="0" locked="0" layoutInCell="0" allowOverlap="1" relativeHeight="151" wp14:anchorId="38D97BE1">
                <wp:simplePos x="0" y="0"/>
                <wp:positionH relativeFrom="column">
                  <wp:posOffset>569595</wp:posOffset>
                </wp:positionH>
                <wp:positionV relativeFrom="paragraph">
                  <wp:posOffset>-193040</wp:posOffset>
                </wp:positionV>
                <wp:extent cx="5941695" cy="2683510"/>
                <wp:effectExtent l="0" t="0" r="0" b="21590"/>
                <wp:wrapNone/>
                <wp:docPr id="18" name="Gruppo 110"/>
                <a:graphic xmlns:a="http://schemas.openxmlformats.org/drawingml/2006/main">
                  <a:graphicData uri="http://schemas.microsoft.com/office/word/2010/wordprocessingGroup">
                    <wpg:wgp>
                      <wpg:cNvGrpSpPr/>
                      <wpg:grpSpPr>
                        <a:xfrm>
                          <a:off x="0" y="0"/>
                          <a:ext cx="5941080" cy="2682720"/>
                          <a:chOff x="569520" y="-192960"/>
                          <a:chExt cx="5941080" cy="2682720"/>
                        </a:xfrm>
                      </wpg:grpSpPr>
                      <wps:wsp>
                        <wps:cNvSpPr/>
                        <wps:spPr>
                          <a:xfrm>
                            <a:off x="3836520" y="1829520"/>
                            <a:ext cx="1908720" cy="853560"/>
                          </a:xfrm>
                          <a:prstGeom prst="rect">
                            <a:avLst/>
                          </a:prstGeom>
                          <a:solidFill>
                            <a:srgbClr val="ffffff"/>
                          </a:solidFill>
                          <a:ln w="12700">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Calibri" w:hAnsi="Calibri"/>
                                  <w:color w:val="00B050"/>
                                </w:rPr>
                                <w:t xml:space="preserve">A partire da maggio 2022: </w:t>
                              </w:r>
                            </w:p>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Calibri" w:hAnsi="Calibri"/>
                                  <w:color w:val="00B050"/>
                                </w:rPr>
                                <w:t>Ripresa attività + potenziamento produzione</w:t>
                              </w:r>
                            </w:p>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Calibri" w:hAnsi="Calibri"/>
                                  <w:color w:val="00B050"/>
                                </w:rPr>
                                <w:t xml:space="preserve">(erosione lista) </w:t>
                              </w:r>
                            </w:p>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Calibri" w:hAnsi="Calibri"/>
                                  <w:color w:val="00B050"/>
                                </w:rPr>
                                <w:t xml:space="preserve"> -1.678 pz. (-8%)</w:t>
                              </w:r>
                            </w:p>
                          </w:txbxContent>
                        </wps:txbx>
                        <wps:bodyPr lIns="90000" rIns="90000" tIns="45000" bIns="45000" anchor="ctr">
                          <a:noAutofit/>
                        </wps:bodyPr>
                      </wps:wsp>
                      <wps:wsp>
                        <wps:cNvSpPr/>
                        <wps:spPr>
                          <a:xfrm rot="20612400">
                            <a:off x="141120" y="938520"/>
                            <a:ext cx="1956600" cy="449640"/>
                          </a:xfrm>
                          <a:prstGeom prst="ellipse">
                            <a:avLst/>
                          </a:prstGeom>
                          <a:noFill/>
                          <a:ln w="12700">
                            <a:solidFill>
                              <a:srgbClr val="ff0000"/>
                            </a:solidFill>
                            <a:miter/>
                          </a:ln>
                        </wps:spPr>
                        <wps:style>
                          <a:lnRef idx="0"/>
                          <a:fillRef idx="0"/>
                          <a:effectRef idx="0"/>
                          <a:fontRef idx="minor"/>
                        </wps:style>
                        <wps:bodyPr/>
                      </wps:wsp>
                      <wps:wsp>
                        <wps:cNvSpPr/>
                        <wps:spPr>
                          <a:xfrm>
                            <a:off x="0" y="497160"/>
                            <a:ext cx="1934280" cy="452880"/>
                          </a:xfrm>
                          <a:prstGeom prst="rect">
                            <a:avLst/>
                          </a:prstGeom>
                          <a:solidFill>
                            <a:srgbClr val="ffffff"/>
                          </a:solidFill>
                          <a:ln w="12700">
                            <a:solidFill>
                              <a:srgbClr val="43729d"/>
                            </a:solidFill>
                            <a:miter/>
                          </a:ln>
                        </wps:spPr>
                        <wps:style>
                          <a:lnRef idx="0"/>
                          <a:fillRef idx="0"/>
                          <a:effectRef idx="0"/>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C00000"/>
                                </w:rPr>
                                <w:t>Prime 3 ondate pandemiche</w:t>
                              </w:r>
                            </w:p>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C00000"/>
                                </w:rPr>
                                <w:t xml:space="preserve"> +2.345 pazienti (+15%)</w:t>
                              </w:r>
                            </w:p>
                            <w:p>
                              <w:pPr>
                                <w:overflowPunct w:val="false"/>
                                <w:spacing w:before="0" w:after="0" w:lineRule="auto" w:line="240"/>
                                <w:jc w:val="center"/>
                                <w:rPr/>
                              </w:pPr>
                              <w:r>
                                <w:rPr>
                                  <w:sz w:val="24"/>
                                  <w:szCs w:val="20"/>
                                </w:rPr>
                              </w:r>
                            </w:p>
                          </w:txbxContent>
                        </wps:txbx>
                        <wps:bodyPr lIns="90000" rIns="90000" tIns="45000" bIns="45000" anchor="ctr">
                          <a:noAutofit/>
                        </wps:bodyPr>
                      </wps:wsp>
                      <wps:wsp>
                        <wps:cNvSpPr/>
                        <wps:spPr>
                          <a:xfrm>
                            <a:off x="1780560" y="1917000"/>
                            <a:ext cx="1842120" cy="537840"/>
                          </a:xfrm>
                          <a:prstGeom prst="rect">
                            <a:avLst/>
                          </a:prstGeom>
                          <a:noFill/>
                          <a:ln w="12700">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Calibri" w:hAnsi="Calibri"/>
                                  <w:color w:val="00B050"/>
                                </w:rPr>
                                <w:t>ESTATE/AUTUNNO 2021</w:t>
                              </w:r>
                            </w:p>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Calibri" w:hAnsi="Calibri"/>
                                  <w:color w:val="00B050"/>
                                </w:rPr>
                                <w:t>Ripresa attività</w:t>
                              </w:r>
                            </w:p>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Calibri" w:hAnsi="Calibri"/>
                                  <w:color w:val="00B050"/>
                                </w:rPr>
                                <w:t>(stabilizzazione lista)</w:t>
                              </w:r>
                            </w:p>
                          </w:txbxContent>
                        </wps:txbx>
                        <wps:bodyPr lIns="90000" rIns="90000" tIns="45000" bIns="45000" anchor="ctr">
                          <a:noAutofit/>
                        </wps:bodyPr>
                      </wps:wsp>
                      <wps:wsp>
                        <wps:cNvSpPr/>
                        <wps:spPr>
                          <a:xfrm rot="21393600">
                            <a:off x="2088000" y="644040"/>
                            <a:ext cx="1591920" cy="717480"/>
                          </a:xfrm>
                          <a:prstGeom prst="ellipse">
                            <a:avLst/>
                          </a:prstGeom>
                          <a:noFill/>
                          <a:ln w="38100">
                            <a:solidFill>
                              <a:srgbClr val="00b050"/>
                            </a:solidFill>
                            <a:miter/>
                          </a:ln>
                        </wps:spPr>
                        <wps:style>
                          <a:lnRef idx="0"/>
                          <a:fillRef idx="0"/>
                          <a:effectRef idx="0"/>
                          <a:fontRef idx="minor"/>
                        </wps:style>
                        <wps:bodyPr/>
                      </wps:wsp>
                      <wps:wsp>
                        <wps:cNvSpPr/>
                        <wps:spPr>
                          <a:xfrm flipH="1">
                            <a:off x="2829600" y="1449000"/>
                            <a:ext cx="113760" cy="444600"/>
                          </a:xfrm>
                          <a:custGeom>
                            <a:avLst/>
                            <a:gdLst/>
                            <a:ahLst/>
                            <a:rect l="l" t="t" r="r" b="b"/>
                            <a:pathLst>
                              <a:path w="21600" h="21600">
                                <a:moveTo>
                                  <a:pt x="0" y="0"/>
                                </a:moveTo>
                                <a:lnTo>
                                  <a:pt x="21600" y="21600"/>
                                </a:lnTo>
                              </a:path>
                            </a:pathLst>
                          </a:custGeom>
                          <a:noFill/>
                          <a:ln w="38100">
                            <a:solidFill>
                              <a:srgbClr val="00b050"/>
                            </a:solidFill>
                            <a:miter/>
                            <a:tailEnd len="med" type="triangle" w="med"/>
                          </a:ln>
                        </wps:spPr>
                        <wps:style>
                          <a:lnRef idx="0"/>
                          <a:fillRef idx="0"/>
                          <a:effectRef idx="0"/>
                          <a:fontRef idx="minor"/>
                        </wps:style>
                        <wps:bodyPr/>
                      </wps:wsp>
                      <wps:wsp>
                        <wps:cNvSpPr/>
                        <wps:spPr>
                          <a:xfrm rot="20643600">
                            <a:off x="3595320" y="681840"/>
                            <a:ext cx="411480" cy="330840"/>
                          </a:xfrm>
                          <a:prstGeom prst="ellipse">
                            <a:avLst/>
                          </a:prstGeom>
                          <a:noFill/>
                          <a:ln w="12700">
                            <a:solidFill>
                              <a:srgbClr val="ff0000"/>
                            </a:solidFill>
                            <a:round/>
                          </a:ln>
                        </wps:spPr>
                        <wps:style>
                          <a:lnRef idx="0"/>
                          <a:fillRef idx="0"/>
                          <a:effectRef idx="0"/>
                          <a:fontRef idx="minor"/>
                        </wps:style>
                        <wps:bodyPr/>
                      </wps:wsp>
                      <wps:wsp>
                        <wps:cNvSpPr/>
                        <wps:spPr>
                          <a:xfrm>
                            <a:off x="2612880" y="0"/>
                            <a:ext cx="1550520" cy="423000"/>
                          </a:xfrm>
                          <a:prstGeom prst="rect">
                            <a:avLst/>
                          </a:prstGeom>
                          <a:solidFill>
                            <a:srgbClr val="ffffff"/>
                          </a:solidFill>
                          <a:ln w="12700">
                            <a:solidFill>
                              <a:srgbClr val="385d8a"/>
                            </a:solidFill>
                            <a:miter/>
                          </a:ln>
                        </wps:spPr>
                        <wps:style>
                          <a:lnRef idx="0"/>
                          <a:fillRef idx="0"/>
                          <a:effectRef idx="0"/>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C00000"/>
                                </w:rPr>
                                <w:t>IVa ondata pandemica</w:t>
                              </w:r>
                            </w:p>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C00000"/>
                                </w:rPr>
                                <w:t xml:space="preserve"> +1.200 pz. (+6%)</w:t>
                              </w:r>
                            </w:p>
                            <w:p>
                              <w:pPr>
                                <w:overflowPunct w:val="false"/>
                                <w:spacing w:before="0" w:after="0" w:lineRule="auto" w:line="240"/>
                                <w:jc w:val="center"/>
                                <w:rPr/>
                              </w:pPr>
                              <w:r>
                                <w:rPr>
                                  <w:sz w:val="24"/>
                                  <w:szCs w:val="20"/>
                                </w:rPr>
                              </w:r>
                            </w:p>
                          </w:txbxContent>
                        </wps:txbx>
                        <wps:bodyPr lIns="90000" rIns="90000" tIns="45000" bIns="45000" anchor="ctr">
                          <a:noAutofit/>
                        </wps:bodyPr>
                      </wps:wsp>
                      <wps:wsp>
                        <wps:cNvSpPr/>
                        <wps:spPr>
                          <a:xfrm rot="832800">
                            <a:off x="3964320" y="241200"/>
                            <a:ext cx="1848960" cy="757080"/>
                          </a:xfrm>
                          <a:prstGeom prst="ellipse">
                            <a:avLst/>
                          </a:prstGeom>
                          <a:noFill/>
                          <a:ln w="38100">
                            <a:solidFill>
                              <a:srgbClr val="00b050"/>
                            </a:solidFill>
                            <a:miter/>
                          </a:ln>
                        </wps:spPr>
                        <wps:style>
                          <a:lnRef idx="0"/>
                          <a:fillRef idx="0"/>
                          <a:effectRef idx="0"/>
                          <a:fontRef idx="minor"/>
                        </wps:style>
                        <wps:bodyPr/>
                      </wps:wsp>
                      <wps:wsp>
                        <wps:cNvSpPr/>
                        <wps:spPr>
                          <a:xfrm flipH="1" flipV="1">
                            <a:off x="737280" y="1001880"/>
                            <a:ext cx="302760" cy="442080"/>
                          </a:xfrm>
                          <a:custGeom>
                            <a:avLst/>
                            <a:gdLst/>
                            <a:ahLst/>
                            <a:rect l="l" t="t" r="r" b="b"/>
                            <a:pathLst>
                              <a:path w="21600" h="21600">
                                <a:moveTo>
                                  <a:pt x="0" y="0"/>
                                </a:moveTo>
                                <a:lnTo>
                                  <a:pt x="21600" y="21600"/>
                                </a:lnTo>
                              </a:path>
                            </a:pathLst>
                          </a:custGeom>
                          <a:noFill/>
                          <a:ln w="9525">
                            <a:solidFill>
                              <a:srgbClr val="c00000"/>
                            </a:solidFill>
                            <a:round/>
                            <a:tailEnd len="med" type="triangle" w="med"/>
                          </a:ln>
                        </wps:spPr>
                        <wps:style>
                          <a:lnRef idx="0"/>
                          <a:fillRef idx="0"/>
                          <a:effectRef idx="0"/>
                          <a:fontRef idx="minor"/>
                        </wps:style>
                        <wps:bodyPr/>
                      </wps:wsp>
                      <wps:wsp>
                        <wps:cNvSpPr/>
                        <wps:spPr>
                          <a:xfrm flipH="1">
                            <a:off x="4603680" y="1456200"/>
                            <a:ext cx="177840" cy="321840"/>
                          </a:xfrm>
                          <a:custGeom>
                            <a:avLst/>
                            <a:gdLst/>
                            <a:ahLst/>
                            <a:rect l="l" t="t" r="r" b="b"/>
                            <a:pathLst>
                              <a:path w="21600" h="21600">
                                <a:moveTo>
                                  <a:pt x="0" y="0"/>
                                </a:moveTo>
                                <a:lnTo>
                                  <a:pt x="21600" y="21600"/>
                                </a:lnTo>
                              </a:path>
                            </a:pathLst>
                          </a:custGeom>
                          <a:noFill/>
                          <a:ln w="9525">
                            <a:solidFill>
                              <a:srgbClr val="00b050"/>
                            </a:solidFill>
                            <a:round/>
                            <a:tailEnd len="med" type="triangle" w="med"/>
                          </a:ln>
                        </wps:spPr>
                        <wps:style>
                          <a:lnRef idx="0"/>
                          <a:fillRef idx="0"/>
                          <a:effectRef idx="0"/>
                          <a:fontRef idx="minor"/>
                        </wps:style>
                        <wps:bodyPr/>
                      </wps:wsp>
                    </wpg:wgp>
                  </a:graphicData>
                </a:graphic>
              </wp:anchor>
            </w:drawing>
          </mc:Choice>
          <mc:Fallback>
            <w:pict>
              <v:group id="shape_0" alt="Gruppo 110" style="position:absolute;margin-left:44.85pt;margin-top:-15.2pt;width:462.75pt;height:211.25pt" coordorigin="897,-304" coordsize="9255,4225">
                <v:rect id="shape_0" ID="Rettangolo 1689720840" path="m0,0l-2147483645,0l-2147483645,-2147483646l0,-2147483646xe" fillcolor="white" stroked="t" style="position:absolute;left:6939;top:2577;width:3005;height:1343;mso-wrap-style:square;v-text-anchor:middle">
                  <v:textbox>
                    <w:txbxContent>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Calibri" w:hAnsi="Calibri"/>
                            <w:color w:val="00B050"/>
                          </w:rPr>
                          <w:t xml:space="preserve">A partire da maggio 2022: </w:t>
                        </w:r>
                      </w:p>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Calibri" w:hAnsi="Calibri"/>
                            <w:color w:val="00B050"/>
                          </w:rPr>
                          <w:t>Ripresa attività + potenziamento produzione</w:t>
                        </w:r>
                      </w:p>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Calibri" w:hAnsi="Calibri"/>
                            <w:color w:val="00B050"/>
                          </w:rPr>
                          <w:t xml:space="preserve">(erosione lista) </w:t>
                        </w:r>
                      </w:p>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Calibri" w:hAnsi="Calibri"/>
                            <w:color w:val="00B050"/>
                          </w:rPr>
                          <w:t xml:space="preserve"> -1.678 pz. (-8%)</w:t>
                        </w:r>
                      </w:p>
                    </w:txbxContent>
                  </v:textbox>
                  <v:fill o:detectmouseclick="t" type="solid" color2="black"/>
                  <v:stroke color="black" weight="12600" joinstyle="miter" endcap="flat"/>
                  <w10:wrap type="none"/>
                </v:rect>
                <v:oval id="shape_0" ID="Ovale 2138194294" path="l-2147483648,-2147483643l-2147483628,-2147483627l-2147483648,-2147483643l-2147483626,-2147483625xe" stroked="t" style="position:absolute;left:1156;top:1595;width:3080;height:707;mso-wrap-style:none;v-text-anchor:middle;rotation:343">
                  <v:fill o:detectmouseclick="t" on="false"/>
                  <v:stroke color="red" weight="12600" joinstyle="miter" endcap="flat"/>
                </v:oval>
                <v:rect id="shape_0" ID="Rettangolo 1365642777" path="m0,0l-2147483645,0l-2147483645,-2147483646l0,-2147483646xe" fillcolor="white" stroked="t" style="position:absolute;left:897;top:479;width:3045;height:712;mso-wrap-style:square;v-text-anchor:middle">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C00000"/>
                          </w:rPr>
                          <w:t>Prime 3 ondate pandemiche</w:t>
                        </w:r>
                      </w:p>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C00000"/>
                          </w:rPr>
                          <w:t xml:space="preserve"> +2.345 pazienti (+15%)</w:t>
                        </w:r>
                      </w:p>
                      <w:p>
                        <w:pPr>
                          <w:overflowPunct w:val="false"/>
                          <w:spacing w:before="0" w:after="0" w:lineRule="auto" w:line="240"/>
                          <w:jc w:val="center"/>
                          <w:rPr/>
                        </w:pPr>
                        <w:r>
                          <w:rPr>
                            <w:sz w:val="24"/>
                            <w:szCs w:val="20"/>
                          </w:rPr>
                        </w:r>
                      </w:p>
                    </w:txbxContent>
                  </v:textbox>
                  <v:fill o:detectmouseclick="t" type="solid" color2="black"/>
                  <v:stroke color="#43729d" weight="12600" joinstyle="miter" endcap="flat"/>
                </v:rect>
                <v:rect id="shape_0" ID="Rettangolo 1367107482" path="m0,0l-2147483645,0l-2147483645,-2147483646l0,-2147483646xe" stroked="t" style="position:absolute;left:3701;top:2715;width:2900;height:846;mso-wrap-style:square;v-text-anchor:middle">
                  <v:textbox>
                    <w:txbxContent>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Calibri" w:hAnsi="Calibri"/>
                            <w:color w:val="00B050"/>
                          </w:rPr>
                          <w:t>ESTATE/AUTUNNO 2021</w:t>
                        </w:r>
                      </w:p>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Calibri" w:hAnsi="Calibri"/>
                            <w:color w:val="00B050"/>
                          </w:rPr>
                          <w:t>Ripresa attività</w:t>
                        </w:r>
                      </w:p>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Calibri" w:hAnsi="Calibri"/>
                            <w:color w:val="00B050"/>
                          </w:rPr>
                          <w:t>(stabilizzazione lista)</w:t>
                        </w:r>
                      </w:p>
                    </w:txbxContent>
                  </v:textbox>
                  <v:fill o:detectmouseclick="t" on="false"/>
                  <v:stroke color="black" weight="12600" joinstyle="miter" endcap="flat"/>
                </v:rect>
                <v:oval id="shape_0" ID="Ovale 915137312" path="l-2147483648,-2147483643l-2147483628,-2147483627l-2147483648,-2147483643l-2147483626,-2147483625xe" stroked="t" style="position:absolute;left:4216;top:784;width:2506;height:1129;mso-wrap-style:none;v-text-anchor:middle;rotation:356">
                  <v:fill o:detectmouseclick="t" on="false"/>
                  <v:stroke color="#00b050" weight="38160" joinstyle="miter" endcap="flat"/>
                </v:oval>
                <v:oval id="shape_0" ID="Ovale 1713453829" path="l-2147483648,-2147483643l-2147483628,-2147483627l-2147483648,-2147483643l-2147483626,-2147483625xe" stroked="t" style="position:absolute;left:6618;top:848;width:647;height:520;mso-wrap-style:none;v-text-anchor:middle;rotation:344">
                  <v:fill o:detectmouseclick="t" on="false"/>
                  <v:stroke color="red" weight="12600" joinstyle="round" endcap="flat"/>
                </v:oval>
                <v:rect id="shape_0" ID="Rettangolo 223839028" path="m0,0l-2147483645,0l-2147483645,-2147483646l0,-2147483646xe" fillcolor="white" stroked="t" style="position:absolute;left:5012;top:-304;width:2441;height:665;mso-wrap-style:square;v-text-anchor:middle">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C00000"/>
                          </w:rPr>
                          <w:t>IVa ondata pandemica</w:t>
                        </w:r>
                      </w:p>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C00000"/>
                          </w:rPr>
                          <w:t xml:space="preserve"> +1.200 pz. (+6%)</w:t>
                        </w:r>
                      </w:p>
                      <w:p>
                        <w:pPr>
                          <w:overflowPunct w:val="false"/>
                          <w:spacing w:before="0" w:after="0" w:lineRule="auto" w:line="240"/>
                          <w:jc w:val="center"/>
                          <w:rPr/>
                        </w:pPr>
                        <w:r>
                          <w:rPr>
                            <w:sz w:val="24"/>
                            <w:szCs w:val="20"/>
                          </w:rPr>
                        </w:r>
                      </w:p>
                    </w:txbxContent>
                  </v:textbox>
                  <v:fill o:detectmouseclick="t" type="solid" color2="black"/>
                  <v:stroke color="#385d8a" weight="12600" joinstyle="miter" endcap="flat"/>
                </v:rect>
                <v:oval id="shape_0" ID="Ovale 1364254160" path="l-2147483648,-2147483643l-2147483628,-2147483627l-2147483648,-2147483643l-2147483626,-2147483625xe" stroked="t" style="position:absolute;left:7240;top:407;width:2911;height:1191;mso-wrap-style:none;v-text-anchor:middle;rotation:14">
                  <v:fill o:detectmouseclick="t" on="false"/>
                  <v:stroke color="#00b050" weight="38160" joinstyle="miter" endcap="flat"/>
                </v:oval>
              </v:group>
            </w:pict>
          </mc:Fallback>
        </mc:AlternateContent>
        <mc:AlternateContent>
          <mc:Choice Requires="wps">
            <w:drawing>
              <wp:anchor behindDoc="0" distT="4445" distB="4445" distL="4445" distR="4445" simplePos="0" locked="0" layoutInCell="0" allowOverlap="1" relativeHeight="152" wp14:anchorId="5BAE64BD">
                <wp:simplePos x="0" y="0"/>
                <wp:positionH relativeFrom="column">
                  <wp:posOffset>4107180</wp:posOffset>
                </wp:positionH>
                <wp:positionV relativeFrom="paragraph">
                  <wp:posOffset>323850</wp:posOffset>
                </wp:positionV>
                <wp:extent cx="239395" cy="242570"/>
                <wp:effectExtent l="47625" t="47625" r="9525" b="6350"/>
                <wp:wrapNone/>
                <wp:docPr id="19" name="Connettore 2 93"/>
                <a:graphic xmlns:a="http://schemas.openxmlformats.org/drawingml/2006/main">
                  <a:graphicData uri="http://schemas.microsoft.com/office/word/2010/wordprocessingShape">
                    <wps:wsp>
                      <wps:cNvSpPr/>
                      <wps:spPr>
                        <a:xfrm flipH="1" flipV="1">
                          <a:off x="0" y="0"/>
                          <a:ext cx="238680" cy="241920"/>
                        </a:xfrm>
                        <a:custGeom>
                          <a:avLst/>
                          <a:gdLst/>
                          <a:ahLst/>
                          <a:rect l="l" t="t" r="r" b="b"/>
                          <a:pathLst>
                            <a:path w="21600" h="21600">
                              <a:moveTo>
                                <a:pt x="0" y="0"/>
                              </a:moveTo>
                              <a:lnTo>
                                <a:pt x="21600" y="21600"/>
                              </a:lnTo>
                            </a:path>
                          </a:pathLst>
                        </a:custGeom>
                        <a:noFill/>
                        <a:ln w="9525">
                          <a:solidFill>
                            <a:srgbClr val="c00000"/>
                          </a:solidFill>
                          <a:round/>
                          <a:tailEnd len="med" type="triangle" w="med"/>
                        </a:ln>
                      </wps:spPr>
                      <wps:style>
                        <a:lnRef idx="0"/>
                        <a:fillRef idx="0"/>
                        <a:effectRef idx="0"/>
                        <a:fontRef idx="minor"/>
                      </wps:style>
                      <wps:bodyPr/>
                    </wps:wsp>
                  </a:graphicData>
                </a:graphic>
              </wp:anchor>
            </w:drawing>
          </mc:Choice>
          <mc:Fallback>
            <w:pict/>
          </mc:Fallback>
        </mc:AlternateContent>
        <w:drawing>
          <wp:inline distT="0" distB="0" distL="0" distR="0">
            <wp:extent cx="6184900" cy="3019425"/>
            <wp:effectExtent l="0" t="0" r="0" b="0"/>
            <wp:docPr id="2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Rispetto al marzo 2020 (inizio emergenza pandemica), il numero dei pazienti in lista presso l’AUTC risulta incrementato sensibilmente. Gli incrementi di lista più significativi sono da imputare alle riduzioni di attività legate alle varie ondate pandemiche (II° e III°: ottobre 2020 – aprile 2021, IV°: gennaio – marzo 2022). Durante il periodo marzo-maggio 2020, il calo produttivo era stato accompagnato da una forte riduzione degli ingressi in lista, con conseguente mantenimento della lista su valori stabili. Di seguito, il dettaglio della scomposizione della lista di attesa chirurgica per ospedale e classe di priorità (Figura 13)</w:t>
      </w:r>
    </w:p>
    <w:p>
      <w:pPr>
        <w:pStyle w:val="Normal"/>
        <w:suppressAutoHyphens w:val="false"/>
        <w:rPr>
          <w:rFonts w:ascii="Calibri" w:hAnsi="Calibri" w:eastAsia="Calibri" w:cs="Calibri"/>
          <w:sz w:val="22"/>
          <w:szCs w:val="22"/>
        </w:rPr>
      </w:pPr>
      <w:r>
        <w:rPr>
          <w:rFonts w:eastAsia="Calibri" w:cs="Calibri" w:ascii="Calibri" w:hAnsi="Calibri"/>
          <w:sz w:val="22"/>
          <w:szCs w:val="22"/>
        </w:rPr>
      </w:r>
      <w:r>
        <w:br w:type="page"/>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Figura 13: pazienti presenti in lista d’attesa chirurgica presso l’Azienda USL Toscana Centro. (dato al netto dell’oculistica e della casistica ambulatoriale semplice). Fonte: Argos</w:t>
      </w:r>
    </w:p>
    <w:p>
      <w:pPr>
        <w:pStyle w:val="Normal"/>
        <w:spacing w:lineRule="atLeast" w:line="320" w:before="0" w:after="120"/>
        <w:jc w:val="both"/>
        <w:rPr>
          <w:rFonts w:ascii="Calibri" w:hAnsi="Calibri" w:eastAsia="Calibri" w:cs="Calibri"/>
          <w:sz w:val="22"/>
          <w:szCs w:val="22"/>
        </w:rPr>
      </w:pPr>
      <w:r>
        <w:rPr/>
        <w:drawing>
          <wp:inline distT="0" distB="0" distL="0" distR="0">
            <wp:extent cx="6144260" cy="333375"/>
            <wp:effectExtent l="0" t="0" r="0" b="0"/>
            <wp:docPr id="21" name="Immagine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86" descr=""/>
                    <pic:cNvPicPr>
                      <a:picLocks noChangeAspect="1" noChangeArrowheads="1"/>
                    </pic:cNvPicPr>
                  </pic:nvPicPr>
                  <pic:blipFill>
                    <a:blip r:embed="rId18"/>
                    <a:stretch>
                      <a:fillRect/>
                    </a:stretch>
                  </pic:blipFill>
                  <pic:spPr bwMode="auto">
                    <a:xfrm>
                      <a:off x="0" y="0"/>
                      <a:ext cx="6144260" cy="333375"/>
                    </a:xfrm>
                    <a:prstGeom prst="rect">
                      <a:avLst/>
                    </a:prstGeom>
                  </pic:spPr>
                </pic:pic>
              </a:graphicData>
            </a:graphic>
          </wp:inline>
        </w:drawing>
      </w:r>
      <w:r>
        <w:rPr>
          <w:rFonts w:eastAsia="Calibri" w:cs="Calibri" w:ascii="Calibri" w:hAnsi="Calibri"/>
          <w:sz w:val="22"/>
          <w:szCs w:val="22"/>
        </w:rPr>
        <w:t xml:space="preserve"> </w:t>
      </w:r>
      <w:r>
        <w:rPr/>
        <w:drawing>
          <wp:inline distT="0" distB="0" distL="0" distR="0">
            <wp:extent cx="6162675" cy="3049905"/>
            <wp:effectExtent l="0" t="0" r="0" b="0"/>
            <wp:docPr id="2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In sintesi, l’attuale produzione garantisce generalmente la seguente performance in termini di tempi di attesa:</w:t>
      </w:r>
    </w:p>
    <w:p>
      <w:pPr>
        <w:pStyle w:val="ListParagraph"/>
        <w:numPr>
          <w:ilvl w:val="0"/>
          <w:numId w:val="12"/>
        </w:numPr>
        <w:spacing w:lineRule="atLeast" w:line="320" w:before="20" w:after="120"/>
        <w:jc w:val="both"/>
        <w:rPr>
          <w:rFonts w:ascii="Calibri" w:hAnsi="Calibri" w:eastAsia="Calibri" w:cs="Calibri"/>
          <w:lang w:val="it-IT"/>
        </w:rPr>
      </w:pPr>
      <w:r>
        <w:rPr>
          <w:rFonts w:eastAsia="Calibri" w:cs="Calibri" w:ascii="Calibri" w:hAnsi="Calibri"/>
          <w:lang w:val="it-IT"/>
        </w:rPr>
        <w:t>Gli interventi di classe A (tempi massimi previsti 30 gg) sono erogati entro i tempi previsti dalla normativa vigente</w:t>
      </w:r>
    </w:p>
    <w:p>
      <w:pPr>
        <w:pStyle w:val="ListParagraph"/>
        <w:numPr>
          <w:ilvl w:val="0"/>
          <w:numId w:val="12"/>
        </w:numPr>
        <w:spacing w:lineRule="atLeast" w:line="320" w:before="20" w:after="120"/>
        <w:jc w:val="both"/>
        <w:rPr>
          <w:rFonts w:ascii="Calibri" w:hAnsi="Calibri" w:eastAsia="Calibri" w:cs="Calibri"/>
          <w:lang w:val="it-IT"/>
        </w:rPr>
      </w:pPr>
      <w:r>
        <w:rPr>
          <w:rFonts w:eastAsia="Calibri" w:cs="Calibri" w:ascii="Calibri" w:hAnsi="Calibri"/>
          <w:lang w:val="it-IT" w:eastAsia="it-IT"/>
        </w:rPr>
        <w:t>Gli interventi di classe B (tempi massimi previsti 60 gg) sono erogati in circa 5 – 6 mesi, a seconda del Presidio considerate</w:t>
      </w:r>
    </w:p>
    <w:p>
      <w:pPr>
        <w:pStyle w:val="ListParagraph"/>
        <w:numPr>
          <w:ilvl w:val="0"/>
          <w:numId w:val="12"/>
        </w:numPr>
        <w:spacing w:lineRule="atLeast" w:line="320" w:before="20" w:after="120"/>
        <w:jc w:val="both"/>
        <w:rPr>
          <w:rFonts w:ascii="Calibri" w:hAnsi="Calibri" w:eastAsia="Calibri" w:cs="Calibri"/>
          <w:lang w:val="it-IT"/>
        </w:rPr>
      </w:pPr>
      <w:r>
        <w:rPr>
          <w:rFonts w:eastAsia="Calibri" w:cs="Calibri" w:ascii="Calibri" w:hAnsi="Calibri"/>
          <w:lang w:val="it-IT" w:eastAsia="it-IT"/>
        </w:rPr>
        <w:t>Gli interventi di classe C (tempi massimi previsti 180 gg) sono erogati in circa 8 - 9 mesi, a seconda del Presidio considerate</w:t>
      </w:r>
    </w:p>
    <w:p>
      <w:pPr>
        <w:pStyle w:val="ListParagraph"/>
        <w:numPr>
          <w:ilvl w:val="0"/>
          <w:numId w:val="12"/>
        </w:numPr>
        <w:spacing w:lineRule="atLeast" w:line="320" w:before="20" w:after="120"/>
        <w:jc w:val="both"/>
        <w:rPr>
          <w:rFonts w:ascii="Calibri" w:hAnsi="Calibri" w:eastAsia="Calibri" w:cs="Calibri"/>
          <w:lang w:val="it-IT"/>
        </w:rPr>
      </w:pPr>
      <w:r>
        <w:rPr>
          <w:rFonts w:eastAsia="Calibri" w:cs="Calibri" w:ascii="Calibri" w:hAnsi="Calibri"/>
          <w:lang w:val="it-IT" w:eastAsia="it-IT"/>
        </w:rPr>
        <w:t>Gli interventi di classe D (tempi massimi previsti 365 gg) sono erogati oltre l’anno (15-16 mesi)</w:t>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i/>
          <w:sz w:val="22"/>
          <w:szCs w:val="22"/>
        </w:rPr>
        <w:t>2.4.6.1 Produzione interventi – impatti pandemia</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 xml:space="preserve"> </w:t>
      </w:r>
      <w:r>
        <w:rPr>
          <w:rFonts w:eastAsia="Calibri" w:cs="Calibri" w:ascii="Calibri" w:hAnsi="Calibri"/>
          <w:sz w:val="22"/>
          <w:szCs w:val="22"/>
        </w:rPr>
        <w:t>Nel 2021 la produzione elettiva aziendale si è attestata intorno ai 22.000 interventi programmati erogati, una performance in miglioramento rispetto al 2020, ma risultata ancora lontana dai livelli pre-emergenziali (complessivamente si è registrato un -24%). Il calo produttivo riscontrato è stato calmierato grazie alla preziosa collaborazione con il privato accreditato convenzionato (erogazione congiunta); di seguito, il grafico che analizza i dati della produzione chirurgica elettiva confrontando gli anni 2022 vs 2021 vs 2019.  È evidente la ripresa dell’attività nel 2022 rispetto al 2021 (+15,4%, +3412 interventi erogati); si riscontra ancora un gap con il 2019, che risulta però quasi colmato se ci si focalizza sulla produzione correlata all’ultimo trimestre 2022 (Figura 14).</w:t>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Figura 14: interventi chirurgici erogati in elezione nel periodo gennaio-ottobre (2019 vs 2021 vs 2022) c/o AUTC. Fonte: O4C/ADT</w:t>
      </w:r>
    </w:p>
    <w:p>
      <w:pPr>
        <w:pStyle w:val="Normal"/>
        <w:spacing w:lineRule="atLeast" w:line="320" w:before="0" w:after="120"/>
        <w:jc w:val="both"/>
        <w:rPr>
          <w:rFonts w:ascii="Calibri" w:hAnsi="Calibri" w:eastAsia="Calibri" w:cs="Calibri"/>
          <w:sz w:val="22"/>
          <w:szCs w:val="22"/>
        </w:rPr>
      </w:pPr>
      <w:r>
        <w:rPr/>
        <w:drawing>
          <wp:inline distT="0" distB="0" distL="0" distR="0">
            <wp:extent cx="4601210" cy="323850"/>
            <wp:effectExtent l="0" t="0" r="0" b="0"/>
            <wp:docPr id="23" name="Immagine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84" descr=""/>
                    <pic:cNvPicPr>
                      <a:picLocks noChangeAspect="1" noChangeArrowheads="1"/>
                    </pic:cNvPicPr>
                  </pic:nvPicPr>
                  <pic:blipFill>
                    <a:blip r:embed="rId20"/>
                    <a:stretch>
                      <a:fillRect/>
                    </a:stretch>
                  </pic:blipFill>
                  <pic:spPr bwMode="auto">
                    <a:xfrm>
                      <a:off x="0" y="0"/>
                      <a:ext cx="4601210" cy="323850"/>
                    </a:xfrm>
                    <a:prstGeom prst="rect">
                      <a:avLst/>
                    </a:prstGeom>
                  </pic:spPr>
                </pic:pic>
              </a:graphicData>
            </a:graphic>
          </wp:inline>
        </w:drawing>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 xml:space="preserve">  </w:t>
      </w:r>
      <w:r>
        <w:rPr/>
        <w:drawing>
          <wp:inline distT="0" distB="0" distL="0" distR="0">
            <wp:extent cx="4643755" cy="2515235"/>
            <wp:effectExtent l="0" t="0" r="0" b="0"/>
            <wp:docPr id="2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eastAsia="Calibri" w:cs="Calibri" w:ascii="Calibri" w:hAnsi="Calibri"/>
          <w:sz w:val="22"/>
          <w:szCs w:val="22"/>
        </w:rPr>
        <w:t xml:space="preserve">                                                     </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 xml:space="preserve">                            </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Si sottolinea, inoltre, come la quasi totalità degli interventi di classe A è stata erogata, sia nel 2021 che nel 2022 (Tabella 22), generalmente entro i 30 giorni di attesa massimi previsti dalla normativa vigente; a testimonianza di ciò, di seguito una tabella con un focus sulla performance aziendale correlata ai tempi di attesa delle 17 casistiche monitorate dal PRGLA, classe A (analisi erogato anno 2022, fonte SDO)</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 xml:space="preserve">           </w:t>
      </w:r>
    </w:p>
    <w:p>
      <w:pPr>
        <w:pStyle w:val="Normal"/>
        <w:suppressAutoHyphens w:val="false"/>
        <w:rPr>
          <w:rFonts w:ascii="Calibri" w:hAnsi="Calibri" w:eastAsia="Calibri" w:cs="Calibri"/>
          <w:sz w:val="22"/>
          <w:szCs w:val="22"/>
        </w:rPr>
      </w:pPr>
      <w:r>
        <w:rPr>
          <w:rFonts w:eastAsia="Calibri" w:cs="Calibri" w:ascii="Calibri" w:hAnsi="Calibri"/>
          <w:sz w:val="22"/>
          <w:szCs w:val="22"/>
        </w:rPr>
      </w:r>
      <w:r>
        <w:br w:type="page"/>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 xml:space="preserve">                          </w:t>
      </w:r>
    </w:p>
    <w:p>
      <w:pPr>
        <w:pStyle w:val="Normal"/>
        <w:spacing w:lineRule="atLeast" w:line="320" w:before="0" w:after="120"/>
        <w:jc w:val="both"/>
        <w:rPr>
          <w:rFonts w:ascii="Calibri" w:hAnsi="Calibri" w:eastAsia="Calibri" w:cs="Calibri"/>
          <w:sz w:val="22"/>
          <w:szCs w:val="22"/>
        </w:rPr>
      </w:pPr>
      <w:r>
        <w:rPr>
          <w:rFonts w:eastAsia="Calibri" w:cs="Calibri" w:ascii="Calibri" w:hAnsi="Calibri"/>
          <w:b/>
          <w:sz w:val="22"/>
          <w:szCs w:val="22"/>
        </w:rPr>
        <w:t>Tabella 22: Prestazioni DH o Ordinarie, 2022</w:t>
      </w:r>
    </w:p>
    <w:p>
      <w:pPr>
        <w:pStyle w:val="Normal"/>
        <w:spacing w:lineRule="atLeast" w:line="320" w:before="0" w:after="120"/>
        <w:jc w:val="both"/>
        <w:rPr>
          <w:rFonts w:ascii="Calibri" w:hAnsi="Calibri" w:eastAsia="Calibri" w:cs="Calibri"/>
          <w:sz w:val="22"/>
          <w:szCs w:val="22"/>
        </w:rPr>
      </w:pPr>
      <w:r>
        <w:rPr/>
        <w:drawing>
          <wp:inline distT="0" distB="0" distL="0" distR="0">
            <wp:extent cx="5883275" cy="3289935"/>
            <wp:effectExtent l="0" t="0" r="0" b="0"/>
            <wp:docPr id="25" name="Immagin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35" descr=""/>
                    <pic:cNvPicPr>
                      <a:picLocks noChangeAspect="1" noChangeArrowheads="1"/>
                    </pic:cNvPicPr>
                  </pic:nvPicPr>
                  <pic:blipFill>
                    <a:blip r:embed="rId22"/>
                    <a:srcRect l="1921" t="0" r="15693" b="11347"/>
                    <a:stretch>
                      <a:fillRect/>
                    </a:stretch>
                  </pic:blipFill>
                  <pic:spPr bwMode="auto">
                    <a:xfrm>
                      <a:off x="0" y="0"/>
                      <a:ext cx="5883275" cy="3289935"/>
                    </a:xfrm>
                    <a:prstGeom prst="rect">
                      <a:avLst/>
                    </a:prstGeom>
                  </pic:spPr>
                </pic:pic>
              </a:graphicData>
            </a:graphic>
          </wp:inline>
        </w:drawing>
      </w:r>
    </w:p>
    <w:p>
      <w:pPr>
        <w:pStyle w:val="Titolo2"/>
        <w:spacing w:lineRule="atLeast" w:line="320" w:before="0" w:after="120"/>
        <w:jc w:val="both"/>
        <w:rPr>
          <w:rFonts w:ascii="Calibri" w:hAnsi="Calibri" w:cs="Calibri"/>
          <w:i w:val="false"/>
          <w:i w:val="false"/>
          <w:iCs w:val="false"/>
          <w:sz w:val="22"/>
          <w:szCs w:val="22"/>
        </w:rPr>
      </w:pPr>
      <w:bookmarkStart w:id="31" w:name="_Toc152228351"/>
      <w:r>
        <w:rPr>
          <w:rFonts w:cs="Calibri" w:ascii="Calibri" w:hAnsi="Calibri"/>
          <w:i w:val="false"/>
          <w:iCs w:val="false"/>
          <w:sz w:val="22"/>
          <w:szCs w:val="22"/>
        </w:rPr>
        <w:t>2.4.7 RICOGNIZIONE UTILIZZO BLOCCHI OPERATORI ASL TC</w:t>
      </w:r>
      <w:bookmarkEnd w:id="31"/>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Grazie alle azioni messe in campo dall’azienda (potenziamento produttività aggiuntiva), nel quarto trimestre 2022 si è ritornati quasi ai livelli pre pandemia in termini di utilizzo dei blocchi operatori (-3% rispetto alla disponibilità di sale riscontrata nell’anno 2019, anno in cui si sono riscontrati i massimi produttivi storici dell’Azienda); di seguito i grafici che testimoniano l’utilizzo nel tempo delle sale elettive nella nostra Azienda (Figure 15a, 15b e 15c).</w:t>
      </w:r>
    </w:p>
    <w:p>
      <w:pPr>
        <w:pStyle w:val="Normal"/>
        <w:suppressAutoHyphens w:val="false"/>
        <w:rPr>
          <w:rFonts w:ascii="Calibri" w:hAnsi="Calibri" w:eastAsia="Calibri" w:cs="Calibri"/>
          <w:sz w:val="22"/>
          <w:szCs w:val="22"/>
        </w:rPr>
      </w:pPr>
      <w:r>
        <w:rPr>
          <w:rFonts w:eastAsia="Calibri" w:cs="Calibri" w:ascii="Calibri" w:hAnsi="Calibri"/>
          <w:sz w:val="22"/>
          <w:szCs w:val="22"/>
        </w:rPr>
      </w:r>
      <w:r>
        <w:br w:type="page"/>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Figura 15a: AGGREGAZIONE PER STABILIMENTO OSPEDALIERO - Numero medio di ore sala disponibili settimanalmente per esecuzione interventi chirurgici in regime di elezione (Ordinario-Day Surgery-Amb. complessa-Amb. semplice)</w:t>
      </w:r>
    </w:p>
    <w:p>
      <w:pPr>
        <w:pStyle w:val="Normal"/>
        <w:spacing w:lineRule="atLeast" w:line="320" w:before="0" w:after="120"/>
        <w:jc w:val="both"/>
        <w:rPr>
          <w:rFonts w:ascii="Calibri" w:hAnsi="Calibri" w:eastAsia="Calibri" w:cs="Calibri"/>
          <w:sz w:val="22"/>
          <w:szCs w:val="22"/>
        </w:rPr>
      </w:pPr>
      <w:r>
        <w:rPr/>
        <w:drawing>
          <wp:inline distT="0" distB="0" distL="0" distR="0">
            <wp:extent cx="5640705" cy="262255"/>
            <wp:effectExtent l="0" t="0" r="0" b="0"/>
            <wp:docPr id="26" name="Immagine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74" descr=""/>
                    <pic:cNvPicPr>
                      <a:picLocks noChangeAspect="1" noChangeArrowheads="1"/>
                    </pic:cNvPicPr>
                  </pic:nvPicPr>
                  <pic:blipFill>
                    <a:blip r:embed="rId23"/>
                    <a:stretch>
                      <a:fillRect/>
                    </a:stretch>
                  </pic:blipFill>
                  <pic:spPr bwMode="auto">
                    <a:xfrm>
                      <a:off x="0" y="0"/>
                      <a:ext cx="5640705" cy="262255"/>
                    </a:xfrm>
                    <a:prstGeom prst="rect">
                      <a:avLst/>
                    </a:prstGeom>
                  </pic:spPr>
                </pic:pic>
              </a:graphicData>
            </a:graphic>
          </wp:inline>
        </w:drawing>
      </w:r>
    </w:p>
    <w:p>
      <w:pPr>
        <w:pStyle w:val="Normal"/>
        <w:spacing w:lineRule="atLeast" w:line="320" w:before="0" w:after="120"/>
        <w:jc w:val="both"/>
        <w:rPr>
          <w:rFonts w:ascii="Calibri" w:hAnsi="Calibri" w:eastAsia="Calibri" w:cs="Calibri"/>
          <w:sz w:val="22"/>
          <w:szCs w:val="22"/>
        </w:rPr>
      </w:pPr>
      <w:r>
        <w:rPr/>
        <w:drawing>
          <wp:inline distT="0" distB="0" distL="0" distR="0">
            <wp:extent cx="5640705" cy="2676525"/>
            <wp:effectExtent l="0" t="0" r="0" b="0"/>
            <wp:docPr id="27" name="Immagin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8" descr=""/>
                    <pic:cNvPicPr>
                      <a:picLocks noChangeAspect="1" noChangeArrowheads="1"/>
                    </pic:cNvPicPr>
                  </pic:nvPicPr>
                  <pic:blipFill>
                    <a:blip r:embed="rId24"/>
                    <a:stretch>
                      <a:fillRect/>
                    </a:stretch>
                  </pic:blipFill>
                  <pic:spPr bwMode="auto">
                    <a:xfrm>
                      <a:off x="0" y="0"/>
                      <a:ext cx="5640705" cy="2676525"/>
                    </a:xfrm>
                    <a:prstGeom prst="rect">
                      <a:avLst/>
                    </a:prstGeom>
                  </pic:spPr>
                </pic:pic>
              </a:graphicData>
            </a:graphic>
          </wp:inline>
        </w:drawing>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Figura 15b: AGGREGAZIONE PER PRESIDIO OSPEDALIERO - Numero medio di ore sala disponibili settimanalmente per esecuzione interventi chirurgici in regime di elezione (Ordinario-Day Surgery-Amb. complessa-Amb. semplice)</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r>
    </w:p>
    <w:p>
      <w:pPr>
        <w:pStyle w:val="Normal"/>
        <w:spacing w:lineRule="atLeast" w:line="320" w:before="0" w:after="120"/>
        <w:jc w:val="both"/>
        <w:rPr>
          <w:rFonts w:ascii="Calibri" w:hAnsi="Calibri" w:eastAsia="Calibri" w:cs="Calibri"/>
          <w:sz w:val="22"/>
          <w:szCs w:val="22"/>
        </w:rPr>
      </w:pPr>
      <w:r>
        <w:rPr/>
        <w:drawing>
          <wp:inline distT="0" distB="0" distL="0" distR="0">
            <wp:extent cx="5610225" cy="287655"/>
            <wp:effectExtent l="0" t="0" r="0" b="0"/>
            <wp:docPr id="28" name="Immagine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73" descr=""/>
                    <pic:cNvPicPr>
                      <a:picLocks noChangeAspect="1" noChangeArrowheads="1"/>
                    </pic:cNvPicPr>
                  </pic:nvPicPr>
                  <pic:blipFill>
                    <a:blip r:embed="rId25"/>
                    <a:stretch>
                      <a:fillRect/>
                    </a:stretch>
                  </pic:blipFill>
                  <pic:spPr bwMode="auto">
                    <a:xfrm>
                      <a:off x="0" y="0"/>
                      <a:ext cx="5610225" cy="287655"/>
                    </a:xfrm>
                    <a:prstGeom prst="rect">
                      <a:avLst/>
                    </a:prstGeom>
                  </pic:spPr>
                </pic:pic>
              </a:graphicData>
            </a:graphic>
          </wp:inline>
        </w:drawing>
      </w:r>
    </w:p>
    <w:p>
      <w:pPr>
        <w:pStyle w:val="Normal"/>
        <w:spacing w:lineRule="atLeast" w:line="320" w:before="0" w:after="120"/>
        <w:jc w:val="both"/>
        <w:rPr>
          <w:rFonts w:ascii="Calibri" w:hAnsi="Calibri" w:eastAsia="Calibri" w:cs="Calibri"/>
          <w:sz w:val="22"/>
          <w:szCs w:val="22"/>
        </w:rPr>
      </w:pPr>
      <w:r>
        <w:rPr/>
        <w:drawing>
          <wp:inline distT="0" distB="0" distL="0" distR="0">
            <wp:extent cx="5629275" cy="2862580"/>
            <wp:effectExtent l="0" t="0" r="0" b="0"/>
            <wp:docPr id="29" name="Immagin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7" descr=""/>
                    <pic:cNvPicPr>
                      <a:picLocks noChangeAspect="1" noChangeArrowheads="1"/>
                    </pic:cNvPicPr>
                  </pic:nvPicPr>
                  <pic:blipFill>
                    <a:blip r:embed="rId26"/>
                    <a:stretch>
                      <a:fillRect/>
                    </a:stretch>
                  </pic:blipFill>
                  <pic:spPr bwMode="auto">
                    <a:xfrm>
                      <a:off x="0" y="0"/>
                      <a:ext cx="5629275" cy="2862580"/>
                    </a:xfrm>
                    <a:prstGeom prst="rect">
                      <a:avLst/>
                    </a:prstGeom>
                  </pic:spPr>
                </pic:pic>
              </a:graphicData>
            </a:graphic>
          </wp:inline>
        </w:drawing>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Figura 15c: AGGREGAZIONE AZIENDA - Numero medio di ore sala disponibili settimanalmente per esecuzione interventi chirurgici in regime di elezione (Ordinario-Day Surgery-Amb. complessa-Amb. semplice).</w:t>
      </w:r>
    </w:p>
    <w:p>
      <w:pPr>
        <w:pStyle w:val="Normal"/>
        <w:spacing w:lineRule="atLeast" w:line="320" w:before="0" w:after="120"/>
        <w:jc w:val="both"/>
        <w:rPr>
          <w:rFonts w:ascii="Calibri" w:hAnsi="Calibri" w:eastAsia="Calibri" w:cs="Calibri"/>
          <w:sz w:val="22"/>
          <w:szCs w:val="22"/>
        </w:rPr>
      </w:pPr>
      <w:r>
        <w:rPr/>
        <w:drawing>
          <wp:inline distT="0" distB="0" distL="0" distR="0">
            <wp:extent cx="5667375" cy="292100"/>
            <wp:effectExtent l="0" t="0" r="0" b="0"/>
            <wp:docPr id="30" name="Immagine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72" descr=""/>
                    <pic:cNvPicPr>
                      <a:picLocks noChangeAspect="1" noChangeArrowheads="1"/>
                    </pic:cNvPicPr>
                  </pic:nvPicPr>
                  <pic:blipFill>
                    <a:blip r:embed="rId27"/>
                    <a:stretch>
                      <a:fillRect/>
                    </a:stretch>
                  </pic:blipFill>
                  <pic:spPr bwMode="auto">
                    <a:xfrm>
                      <a:off x="0" y="0"/>
                      <a:ext cx="5667375" cy="292100"/>
                    </a:xfrm>
                    <a:prstGeom prst="rect">
                      <a:avLst/>
                    </a:prstGeom>
                  </pic:spPr>
                </pic:pic>
              </a:graphicData>
            </a:graphic>
          </wp:inline>
        </w:drawing>
      </w:r>
    </w:p>
    <w:p>
      <w:pPr>
        <w:pStyle w:val="Normal"/>
        <w:spacing w:lineRule="atLeast" w:line="320" w:before="0" w:after="120"/>
        <w:jc w:val="both"/>
        <w:rPr>
          <w:rFonts w:ascii="Calibri" w:hAnsi="Calibri" w:eastAsia="Calibri" w:cs="Calibri"/>
          <w:sz w:val="22"/>
          <w:szCs w:val="22"/>
        </w:rPr>
      </w:pPr>
      <w:r>
        <w:rPr/>
        <w:drawing>
          <wp:inline distT="0" distB="0" distL="0" distR="0">
            <wp:extent cx="5526405" cy="2742565"/>
            <wp:effectExtent l="0" t="0" r="0" b="0"/>
            <wp:docPr id="31" name="Immagin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26" descr=""/>
                    <pic:cNvPicPr>
                      <a:picLocks noChangeAspect="1" noChangeArrowheads="1"/>
                    </pic:cNvPicPr>
                  </pic:nvPicPr>
                  <pic:blipFill>
                    <a:blip r:embed="rId28"/>
                    <a:stretch>
                      <a:fillRect/>
                    </a:stretch>
                  </pic:blipFill>
                  <pic:spPr bwMode="auto">
                    <a:xfrm>
                      <a:off x="0" y="0"/>
                      <a:ext cx="5526405" cy="2742565"/>
                    </a:xfrm>
                    <a:prstGeom prst="rect">
                      <a:avLst/>
                    </a:prstGeom>
                  </pic:spPr>
                </pic:pic>
              </a:graphicData>
            </a:graphic>
          </wp:inline>
        </w:drawing>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La riduzione di 222 ore di sala a settimana, rispetto al 2019 (periodo considerato di riferimento), ha comportato un deficit produttivo (confronto 2022 vs 2019) di circa 111 interventi programmati a settimana, nel quarto trimestre dell’anno, in parte colmato dall’erogazione in service presso le case di cura convenzionate accreditate.</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Il numero deriva dalla semplificazione e considerazione che in una seduta mattutina (6 ore) generalmente nella nostra Azienda vengono erogati 3 interventi chirurgici elettivi. (222/6=37 sedute; 37*3=111 interventi).</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Piano di Azioni: l'azienda in tutto il 2022 ha lavorato al recupero della produzione chirurgica non erogata a causa della pandemia (come previsto dalla DGRT n.148 del 21/02/2022) attraverso varie leve strategiche. Di seguito le principali.</w:t>
      </w:r>
    </w:p>
    <w:p>
      <w:pPr>
        <w:pStyle w:val="Normal"/>
        <w:spacing w:lineRule="atLeast" w:line="320" w:before="0" w:after="120"/>
        <w:jc w:val="both"/>
        <w:rPr>
          <w:rFonts w:ascii="Calibri" w:hAnsi="Calibri" w:eastAsia="Calibri" w:cs="Calibri"/>
          <w:b/>
          <w:b/>
          <w:sz w:val="22"/>
          <w:szCs w:val="22"/>
        </w:rPr>
      </w:pPr>
      <w:r>
        <w:rPr>
          <w:rFonts w:eastAsia="Calibri" w:cs="Calibri" w:ascii="Calibri" w:hAnsi="Calibri"/>
          <w:b/>
          <w:sz w:val="22"/>
          <w:szCs w:val="22"/>
        </w:rPr>
        <w:t>2.4.7.1 Potenziamento dei progetti abbattimento liste (produttività aggiuntiva)</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Con l’obiettivo di ripristinare quanto prima i tassi di produzione ante pandemia sono stati attivati in azienda vari progetti di abbattimento liste di attesa per specifiche casistiche (prevalentemente ernie addominali, protesica e colecistectomie) che avevano fatto riscontrare particolari criticità in termini di tempi di attesa. Con apposita delibera (rif. DA 604/2022), l’Azienda Sanitaria Toscana Centro ha prorogato per tutto il 2022  tali progetti; i fondi e le autorizzazioni di spesa correlati alle risorse di cui al comma 278 dell’art. 1 della legge di Bilancio 2022, finalizzate al recupero delle prestazioni sospese/non erogate a causa della pandemia, sono stati utilizzati per aumentare e potenziare i progetti straordinari di abbattimento liste che le varie aree sanitarie interessate (Area Chirurgia Generale, Ortopedica, Ginecologica, Testa-Collo, Urologica) hanno proposto e stanno proponendo anche per il 2023;</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r>
    </w:p>
    <w:p>
      <w:pPr>
        <w:pStyle w:val="Normal"/>
        <w:spacing w:lineRule="atLeast" w:line="320" w:before="0" w:after="120"/>
        <w:jc w:val="both"/>
        <w:rPr>
          <w:rFonts w:ascii="Calibri" w:hAnsi="Calibri" w:eastAsia="Calibri" w:cs="Calibri"/>
          <w:sz w:val="22"/>
          <w:szCs w:val="22"/>
        </w:rPr>
      </w:pPr>
      <w:r>
        <w:rPr>
          <w:rFonts w:eastAsia="Calibri" w:cs="Calibri" w:ascii="Calibri" w:hAnsi="Calibri"/>
          <w:b/>
          <w:sz w:val="22"/>
          <w:szCs w:val="22"/>
        </w:rPr>
        <w:t>2.4.7.2 Potenziamento erogazione congiunta presso case di cura private accreditate</w:t>
      </w:r>
      <w:r>
        <w:rPr>
          <w:rFonts w:eastAsia="Calibri" w:cs="Calibri" w:ascii="Calibri" w:hAnsi="Calibri"/>
          <w:sz w:val="22"/>
          <w:szCs w:val="22"/>
        </w:rPr>
        <w:t xml:space="preserve">. </w:t>
      </w:r>
    </w:p>
    <w:p>
      <w:pPr>
        <w:pStyle w:val="Normal"/>
        <w:spacing w:lineRule="atLeast" w:line="320" w:before="0" w:after="120"/>
        <w:jc w:val="both"/>
        <w:rPr>
          <w:rFonts w:ascii="Calibri" w:hAnsi="Calibri" w:eastAsia="Calibri" w:cs="Calibri"/>
          <w:sz w:val="22"/>
          <w:szCs w:val="22"/>
        </w:rPr>
      </w:pPr>
      <w:r>
        <w:rPr>
          <w:rFonts w:eastAsia="Calibri" w:cs="Calibri" w:ascii="Calibri" w:hAnsi="Calibri"/>
          <w:sz w:val="22"/>
          <w:szCs w:val="22"/>
        </w:rPr>
        <w:t>Dopo due anni di pandemia non era possibile pretendere di rispondere ad una domanda così numerosa, cui si è aggiunto il necessario recupero di prestazioni non erogate durante la fase emergenziale, con le sole forza interne, già particolarmente stressate dall’emergenza Covid. È nata così l’esigenza di richiedere la preziosa collaborazione con il privato accreditato convenzionato. Sono stati oltre 6000 gli interventi erogati nel 2021 dalle nostre equipe chirurgiche sfruttando la collaborazione e le risorse messe a disposizione dal privato convenzionato (erogazione congiunta). È stato ritenuto necessario nel 2022 potenziare ancora di più questa leva strategica sfruttando le risorse correlate alla DGRT 148/2022; nel piano di potenziamento dell’erogazione congiunta presso il privato convenzionato sono state coinvolte con ruolo determinante, diverse Case di Cura in tutti gli ambiti territoriali aziendali. Si sottolinea che, rispetto ai circa 11,3 milioni di euro autorizzati dalla RT per l’abbattimento liste di attesa relativi all’anno 2022 (rif. DGRT 148/2022), l’ASL Toscana Centro ha stanziato nel corso dell’anno risorse per potenziare la produttività aggiuntiva, il modello competitivo e l’erogazione service chirurgica presso il privato convenzionato (rif. DA 668/2022). Le risorse correlate alla DGRT 148/2022 sono state pienamente utilizzate dall’ASL TC; si auspicano medesimi stanziamenti anche per il 2023.</w:t>
      </w:r>
    </w:p>
    <w:p>
      <w:pPr>
        <w:pStyle w:val="Titolo2"/>
        <w:spacing w:lineRule="atLeast" w:line="320" w:before="0" w:after="120"/>
        <w:jc w:val="both"/>
        <w:rPr>
          <w:rFonts w:ascii="Calibri" w:hAnsi="Calibri" w:cs="Calibri"/>
          <w:i w:val="false"/>
          <w:i w:val="false"/>
          <w:iCs w:val="false"/>
          <w:sz w:val="22"/>
          <w:szCs w:val="22"/>
        </w:rPr>
      </w:pPr>
      <w:bookmarkStart w:id="32" w:name="_Toc152228352"/>
      <w:r>
        <w:rPr>
          <w:rFonts w:cs="Calibri" w:ascii="Calibri" w:hAnsi="Calibri"/>
          <w:i w:val="false"/>
          <w:iCs w:val="false"/>
          <w:sz w:val="22"/>
          <w:szCs w:val="22"/>
        </w:rPr>
        <w:t>2.4.8 RIABILITAZIONE</w:t>
      </w:r>
      <w:bookmarkEnd w:id="32"/>
    </w:p>
    <w:p>
      <w:pPr>
        <w:pStyle w:val="Normal"/>
        <w:spacing w:lineRule="atLeast" w:line="320" w:before="0" w:after="120"/>
        <w:ind w:right="-2" w:hanging="0"/>
        <w:jc w:val="both"/>
        <w:rPr>
          <w:rFonts w:ascii="Calibri" w:hAnsi="Calibri" w:cs="Calibri"/>
          <w:sz w:val="22"/>
          <w:szCs w:val="22"/>
        </w:rPr>
      </w:pPr>
      <w:r>
        <w:rPr>
          <w:rFonts w:cs="Calibri" w:ascii="Calibri" w:hAnsi="Calibri"/>
          <w:sz w:val="22"/>
          <w:szCs w:val="22"/>
        </w:rPr>
        <w:t>Nel complesso, nell’anno 2022, si sono registrati 1,4 ricoveri in codice 56 (recupero e riabilitazione funzionale) ogni 1.000 residenti, in calo rispetto al 2020 quando erano 2,0 (Figura 16, 17 e 18). L’AUSL TC si caratterizza per una buona performance rispetto alla media regionale, in particolare per la continuità del percorso assistenziale, misurata dall’indicatore C8A.20 (Tabella 23).</w:t>
      </w:r>
    </w:p>
    <w:p>
      <w:pPr>
        <w:pStyle w:val="Normal"/>
        <w:spacing w:lineRule="atLeast" w:line="320" w:before="0" w:after="120"/>
        <w:rPr>
          <w:color w:val="000000"/>
        </w:rPr>
      </w:pPr>
      <w:r>
        <w:rPr>
          <w:rFonts w:cs="Calibri" w:ascii="Calibri" w:hAnsi="Calibri"/>
          <w:b/>
          <w:bCs/>
          <w:color w:val="000000"/>
          <w:sz w:val="22"/>
          <w:szCs w:val="22"/>
        </w:rPr>
        <w:t>Tabella 23. Indicatori MES su riabilitazione dell’AUSL Toscana Centro, anno 2022</w:t>
      </w:r>
    </w:p>
    <w:tbl>
      <w:tblPr>
        <w:tblW w:w="9633" w:type="dxa"/>
        <w:jc w:val="left"/>
        <w:tblInd w:w="-5" w:type="dxa"/>
        <w:tblLayout w:type="fixed"/>
        <w:tblCellMar>
          <w:top w:w="0" w:type="dxa"/>
          <w:left w:w="70" w:type="dxa"/>
          <w:bottom w:w="0" w:type="dxa"/>
          <w:right w:w="70" w:type="dxa"/>
        </w:tblCellMar>
        <w:tblLook w:firstRow="1" w:noVBand="1" w:lastRow="0" w:firstColumn="1" w:lastColumn="0" w:noHBand="0" w:val="04a0"/>
      </w:tblPr>
      <w:tblGrid>
        <w:gridCol w:w="5386"/>
        <w:gridCol w:w="709"/>
        <w:gridCol w:w="674"/>
        <w:gridCol w:w="743"/>
        <w:gridCol w:w="569"/>
        <w:gridCol w:w="565"/>
        <w:gridCol w:w="986"/>
      </w:tblGrid>
      <w:tr>
        <w:trPr>
          <w:trHeight w:val="300" w:hRule="atLeast"/>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Indicatore</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Valore 2021</w:t>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Valore 2022</w:t>
            </w:r>
          </w:p>
        </w:tc>
        <w:tc>
          <w:tcPr>
            <w:tcW w:w="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Valutazione 2022</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Δ (%)</w:t>
            </w:r>
          </w:p>
        </w:tc>
        <w:tc>
          <w:tcPr>
            <w:tcW w:w="5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Δ CV</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Variabilità</w:t>
            </w:r>
          </w:p>
        </w:tc>
      </w:tr>
      <w:tr>
        <w:trPr>
          <w:trHeight w:val="300" w:hRule="atLeast"/>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20"/>
                <w:szCs w:val="20"/>
              </w:rPr>
            </w:pPr>
            <w:r>
              <w:rPr>
                <w:rFonts w:cs="Calibri" w:ascii="Calibri" w:hAnsi="Calibri"/>
                <w:color w:val="000000"/>
                <w:sz w:val="20"/>
                <w:szCs w:val="20"/>
              </w:rPr>
              <w:t>C8A.20 % ricoveri ordinari in cod.56 non preceduti da una dimissione nello stesso giorno</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3,4</w:t>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10,66</w:t>
            </w:r>
          </w:p>
        </w:tc>
        <w:tc>
          <w:tcPr>
            <w:tcW w:w="743"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3,93</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-8,67</w:t>
            </w:r>
          </w:p>
        </w:tc>
        <w:tc>
          <w:tcPr>
            <w:tcW w:w="5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-0,83</w:t>
            </w:r>
          </w:p>
        </w:tc>
        <w:tc>
          <w:tcPr>
            <w:tcW w:w="986" w:type="dxa"/>
            <w:tcBorders>
              <w:top w:val="single" w:sz="4" w:space="0" w:color="000000"/>
              <w:left w:val="single" w:sz="4" w:space="0" w:color="000000"/>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bl>
    <w:p>
      <w:pPr>
        <w:pStyle w:val="Normal"/>
        <w:pBdr>
          <w:top w:val="single" w:sz="4" w:space="0" w:color="000000"/>
        </w:pBdr>
        <w:spacing w:lineRule="atLeast" w:line="320" w:before="0" w:after="120"/>
        <w:ind w:right="-2" w:hanging="0"/>
        <w:jc w:val="both"/>
        <w:rPr>
          <w:rFonts w:ascii="Calibri" w:hAnsi="Calibri" w:cs="Calibri"/>
          <w:color w:val="003366"/>
          <w:sz w:val="22"/>
          <w:szCs w:val="22"/>
        </w:rPr>
      </w:pPr>
      <w:r>
        <w:rPr>
          <w:rFonts w:cs="Calibri" w:ascii="Calibri" w:hAnsi="Calibri"/>
          <w:color w:val="003366"/>
          <w:sz w:val="22"/>
          <w:szCs w:val="22"/>
        </w:rPr>
      </w:r>
    </w:p>
    <w:p>
      <w:pPr>
        <w:pStyle w:val="Normal"/>
        <w:pBdr>
          <w:top w:val="single" w:sz="4" w:space="0" w:color="000000"/>
        </w:pBdr>
        <w:spacing w:lineRule="atLeast" w:line="320" w:before="0" w:after="120"/>
        <w:ind w:right="-2" w:hanging="0"/>
        <w:jc w:val="both"/>
        <w:rPr>
          <w:rFonts w:ascii="Calibri" w:hAnsi="Calibri" w:cs="Calibri"/>
          <w:b/>
          <w:b/>
          <w:bCs/>
          <w:color w:val="000000"/>
          <w:sz w:val="22"/>
          <w:szCs w:val="22"/>
        </w:rPr>
      </w:pPr>
      <w:r>
        <w:rPr>
          <w:rFonts w:cs="Calibri" w:ascii="Calibri" w:hAnsi="Calibri"/>
          <w:b/>
          <w:bCs/>
          <w:color w:val="000000"/>
          <w:sz w:val="22"/>
          <w:szCs w:val="22"/>
        </w:rPr>
        <w:t>Figura 16. Indicatore C8A.20 Percentuale di ricoveri ordinari in cod. 56 non preceduti da una dimissione nello stesso giorno, Aziende anno 2022</w:t>
      </w:r>
    </w:p>
    <w:p>
      <w:pPr>
        <w:pStyle w:val="Normal"/>
        <w:pBdr>
          <w:top w:val="single" w:sz="4" w:space="0" w:color="000000"/>
        </w:pBdr>
        <w:spacing w:lineRule="atLeast" w:line="320" w:before="0" w:after="120"/>
        <w:ind w:right="-2" w:hanging="0"/>
        <w:jc w:val="both"/>
        <w:rPr>
          <w:rFonts w:ascii="Calibri" w:hAnsi="Calibri" w:cs="Calibri"/>
          <w:color w:val="003366"/>
          <w:sz w:val="22"/>
          <w:szCs w:val="22"/>
        </w:rPr>
      </w:pPr>
      <w:r>
        <w:rPr/>
        <w:drawing>
          <wp:inline distT="0" distB="0" distL="0" distR="0">
            <wp:extent cx="6120130" cy="2153920"/>
            <wp:effectExtent l="0" t="0" r="0" b="0"/>
            <wp:docPr id="32" name="Immagin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4" descr=""/>
                    <pic:cNvPicPr>
                      <a:picLocks noChangeAspect="1" noChangeArrowheads="1"/>
                    </pic:cNvPicPr>
                  </pic:nvPicPr>
                  <pic:blipFill>
                    <a:blip r:embed="rId29"/>
                    <a:srcRect l="0" t="13584" r="0" b="0"/>
                    <a:stretch>
                      <a:fillRect/>
                    </a:stretch>
                  </pic:blipFill>
                  <pic:spPr bwMode="auto">
                    <a:xfrm>
                      <a:off x="0" y="0"/>
                      <a:ext cx="6120130" cy="2153920"/>
                    </a:xfrm>
                    <a:prstGeom prst="rect">
                      <a:avLst/>
                    </a:prstGeom>
                  </pic:spPr>
                </pic:pic>
              </a:graphicData>
            </a:graphic>
          </wp:inline>
        </w:drawing>
      </w:r>
    </w:p>
    <w:p>
      <w:pPr>
        <w:pStyle w:val="Normal"/>
        <w:pBdr>
          <w:top w:val="single" w:sz="4" w:space="0" w:color="000000"/>
        </w:pBdr>
        <w:spacing w:lineRule="atLeast" w:line="320" w:before="0" w:after="120"/>
        <w:ind w:right="-2" w:hanging="0"/>
        <w:jc w:val="both"/>
        <w:rPr>
          <w:rFonts w:ascii="Calibri" w:hAnsi="Calibri" w:cs="Calibri"/>
          <w:b/>
          <w:b/>
          <w:bCs/>
          <w:color w:val="000000"/>
          <w:sz w:val="22"/>
          <w:szCs w:val="22"/>
        </w:rPr>
      </w:pPr>
      <w:r>
        <w:rPr>
          <w:rFonts w:cs="Calibri" w:ascii="Calibri" w:hAnsi="Calibri"/>
          <w:b/>
          <w:bCs/>
          <w:color w:val="000000"/>
          <w:sz w:val="22"/>
          <w:szCs w:val="22"/>
        </w:rPr>
      </w:r>
    </w:p>
    <w:p>
      <w:pPr>
        <w:pStyle w:val="Normal"/>
        <w:pBdr>
          <w:top w:val="single" w:sz="4" w:space="0" w:color="000000"/>
        </w:pBdr>
        <w:spacing w:lineRule="atLeast" w:line="320" w:before="0" w:after="120"/>
        <w:ind w:right="-2" w:hanging="0"/>
        <w:jc w:val="both"/>
        <w:rPr>
          <w:rFonts w:ascii="Calibri" w:hAnsi="Calibri" w:cs="Calibri"/>
          <w:b/>
          <w:b/>
          <w:bCs/>
          <w:color w:val="000000"/>
          <w:sz w:val="22"/>
          <w:szCs w:val="22"/>
        </w:rPr>
      </w:pPr>
      <w:r>
        <w:rPr>
          <w:rFonts w:cs="Calibri" w:ascii="Calibri" w:hAnsi="Calibri"/>
          <w:b/>
          <w:bCs/>
          <w:color w:val="000000"/>
          <w:sz w:val="22"/>
          <w:szCs w:val="22"/>
        </w:rPr>
      </w:r>
    </w:p>
    <w:p>
      <w:pPr>
        <w:pStyle w:val="Normal"/>
        <w:pBdr>
          <w:top w:val="single" w:sz="4" w:space="0" w:color="000000"/>
        </w:pBdr>
        <w:spacing w:lineRule="atLeast" w:line="320" w:before="0" w:after="120"/>
        <w:ind w:right="-2" w:hanging="0"/>
        <w:jc w:val="both"/>
        <w:rPr>
          <w:rFonts w:ascii="Calibri" w:hAnsi="Calibri" w:cs="Calibri"/>
          <w:b/>
          <w:b/>
          <w:bCs/>
          <w:color w:val="000000"/>
          <w:sz w:val="22"/>
          <w:szCs w:val="22"/>
        </w:rPr>
      </w:pPr>
      <w:r>
        <w:rPr>
          <w:rFonts w:cs="Calibri" w:ascii="Calibri" w:hAnsi="Calibri"/>
          <w:b/>
          <w:bCs/>
          <w:color w:val="000000"/>
          <w:sz w:val="22"/>
          <w:szCs w:val="22"/>
        </w:rPr>
        <w:t>Figura 17. C17.1.1. Tasso di ospedalizzazione std per 1.000 residenti in specialità 56, Aziende 2022</w:t>
      </w:r>
    </w:p>
    <w:p>
      <w:pPr>
        <w:pStyle w:val="Normal"/>
        <w:pBdr>
          <w:top w:val="single" w:sz="4" w:space="0" w:color="000000"/>
        </w:pBdr>
        <w:spacing w:lineRule="atLeast" w:line="320" w:before="0" w:after="120"/>
        <w:ind w:right="-2" w:hanging="0"/>
        <w:jc w:val="both"/>
        <w:rPr>
          <w:rFonts w:ascii="Calibri" w:hAnsi="Calibri" w:cs="Calibri"/>
          <w:color w:val="003366"/>
          <w:sz w:val="22"/>
          <w:szCs w:val="22"/>
        </w:rPr>
      </w:pPr>
      <w:r>
        <w:rPr/>
        <w:drawing>
          <wp:inline distT="0" distB="0" distL="0" distR="0">
            <wp:extent cx="6120130" cy="2109470"/>
            <wp:effectExtent l="0" t="0" r="0" b="0"/>
            <wp:docPr id="33" name="Immagin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6" descr=""/>
                    <pic:cNvPicPr>
                      <a:picLocks noChangeAspect="1" noChangeArrowheads="1"/>
                    </pic:cNvPicPr>
                  </pic:nvPicPr>
                  <pic:blipFill>
                    <a:blip r:embed="rId30"/>
                    <a:srcRect l="0" t="14455" r="0" b="0"/>
                    <a:stretch>
                      <a:fillRect/>
                    </a:stretch>
                  </pic:blipFill>
                  <pic:spPr bwMode="auto">
                    <a:xfrm>
                      <a:off x="0" y="0"/>
                      <a:ext cx="6120130" cy="2109470"/>
                    </a:xfrm>
                    <a:prstGeom prst="rect">
                      <a:avLst/>
                    </a:prstGeom>
                  </pic:spPr>
                </pic:pic>
              </a:graphicData>
            </a:graphic>
          </wp:inline>
        </w:drawing>
      </w:r>
    </w:p>
    <w:p>
      <w:pPr>
        <w:pStyle w:val="Normal"/>
        <w:suppressAutoHyphens w:val="false"/>
        <w:rPr>
          <w:rFonts w:ascii="Calibri" w:hAnsi="Calibri" w:cs="Calibri"/>
          <w:b/>
          <w:b/>
          <w:bCs/>
          <w:color w:val="000000"/>
          <w:sz w:val="22"/>
          <w:szCs w:val="22"/>
        </w:rPr>
      </w:pPr>
      <w:r>
        <w:rPr>
          <w:rFonts w:cs="Calibri" w:ascii="Calibri" w:hAnsi="Calibri"/>
          <w:b/>
          <w:bCs/>
          <w:color w:val="000000"/>
          <w:sz w:val="22"/>
          <w:szCs w:val="22"/>
        </w:rPr>
        <w:t>Figura 18. C17.1.1 Tasso di ospedalizzazione std per 1.000 residenti in specialità 56, trend per Azienda 2019-2022</w:t>
      </w:r>
    </w:p>
    <w:p>
      <w:pPr>
        <w:pStyle w:val="Normal"/>
        <w:pBdr>
          <w:top w:val="single" w:sz="4" w:space="0" w:color="000000"/>
        </w:pBdr>
        <w:spacing w:lineRule="atLeast" w:line="320" w:before="0" w:after="120"/>
        <w:ind w:right="-2" w:hanging="0"/>
        <w:jc w:val="both"/>
        <w:rPr>
          <w:rFonts w:ascii="Calibri" w:hAnsi="Calibri" w:cs="Calibri"/>
          <w:b/>
          <w:b/>
          <w:bCs/>
          <w:color w:val="000000"/>
          <w:sz w:val="22"/>
          <w:szCs w:val="22"/>
        </w:rPr>
      </w:pPr>
      <w:r>
        <w:rPr>
          <w:rFonts w:cs="Calibri" w:ascii="Calibri" w:hAnsi="Calibri"/>
          <w:b/>
          <w:bCs/>
          <w:color w:val="000000"/>
          <w:sz w:val="22"/>
          <w:szCs w:val="22"/>
        </w:rPr>
      </w:r>
    </w:p>
    <w:p>
      <w:pPr>
        <w:pStyle w:val="Normal"/>
        <w:pBdr>
          <w:top w:val="single" w:sz="4" w:space="0" w:color="000000"/>
        </w:pBdr>
        <w:spacing w:lineRule="atLeast" w:line="320" w:before="0" w:after="120"/>
        <w:ind w:right="-2" w:hanging="0"/>
        <w:jc w:val="both"/>
        <w:rPr>
          <w:rFonts w:ascii="Calibri" w:hAnsi="Calibri" w:cs="Calibri"/>
          <w:b/>
          <w:b/>
          <w:bCs/>
          <w:color w:val="000000"/>
          <w:sz w:val="22"/>
          <w:szCs w:val="22"/>
        </w:rPr>
      </w:pPr>
      <w:r>
        <w:rPr/>
        <w:drawing>
          <wp:inline distT="0" distB="0" distL="0" distR="0">
            <wp:extent cx="5433060" cy="1896110"/>
            <wp:effectExtent l="0" t="0" r="0" b="0"/>
            <wp:docPr id="34" name="Immagin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20" descr=""/>
                    <pic:cNvPicPr>
                      <a:picLocks noChangeAspect="1" noChangeArrowheads="1"/>
                    </pic:cNvPicPr>
                  </pic:nvPicPr>
                  <pic:blipFill>
                    <a:blip r:embed="rId31"/>
                    <a:srcRect l="0" t="14497" r="0" b="0"/>
                    <a:stretch>
                      <a:fillRect/>
                    </a:stretch>
                  </pic:blipFill>
                  <pic:spPr bwMode="auto">
                    <a:xfrm>
                      <a:off x="0" y="0"/>
                      <a:ext cx="5433060" cy="1896110"/>
                    </a:xfrm>
                    <a:prstGeom prst="rect">
                      <a:avLst/>
                    </a:prstGeom>
                  </pic:spPr>
                </pic:pic>
              </a:graphicData>
            </a:graphic>
          </wp:inline>
        </w:drawing>
      </w:r>
    </w:p>
    <w:p>
      <w:pPr>
        <w:pStyle w:val="Titolo2"/>
        <w:spacing w:lineRule="atLeast" w:line="320" w:before="0" w:after="120"/>
        <w:jc w:val="both"/>
        <w:rPr>
          <w:rFonts w:ascii="Calibri" w:hAnsi="Calibri" w:cs="Calibri"/>
          <w:i w:val="false"/>
          <w:i w:val="false"/>
          <w:iCs w:val="false"/>
          <w:sz w:val="22"/>
          <w:szCs w:val="22"/>
        </w:rPr>
      </w:pPr>
      <w:r>
        <w:rPr>
          <w:rFonts w:cs="Calibri" w:ascii="Calibri" w:hAnsi="Calibri"/>
          <w:i w:val="false"/>
          <w:iCs w:val="false"/>
          <w:sz w:val="22"/>
          <w:szCs w:val="22"/>
        </w:rPr>
      </w:r>
    </w:p>
    <w:p>
      <w:pPr>
        <w:pStyle w:val="Titolo2"/>
        <w:spacing w:lineRule="atLeast" w:line="320" w:before="0" w:after="120"/>
        <w:jc w:val="both"/>
        <w:rPr>
          <w:rFonts w:ascii="Calibri" w:hAnsi="Calibri" w:cs="Calibri"/>
          <w:i w:val="false"/>
          <w:i w:val="false"/>
          <w:iCs w:val="false"/>
          <w:sz w:val="22"/>
          <w:szCs w:val="22"/>
        </w:rPr>
      </w:pPr>
      <w:bookmarkStart w:id="33" w:name="_Toc152228353"/>
      <w:r>
        <w:rPr>
          <w:rFonts w:cs="Calibri" w:ascii="Calibri" w:hAnsi="Calibri"/>
          <w:i w:val="false"/>
          <w:iCs w:val="false"/>
          <w:sz w:val="22"/>
          <w:szCs w:val="22"/>
        </w:rPr>
        <w:t>2.4.9 SALUTE MENTALE</w:t>
      </w:r>
      <w:bookmarkEnd w:id="33"/>
    </w:p>
    <w:p>
      <w:pPr>
        <w:pStyle w:val="Normal"/>
        <w:spacing w:lineRule="atLeast" w:line="320" w:before="0" w:after="120"/>
        <w:ind w:right="-2" w:hanging="0"/>
        <w:jc w:val="both"/>
        <w:rPr>
          <w:rFonts w:ascii="Calibri" w:hAnsi="Calibri" w:cs="Calibri"/>
          <w:sz w:val="22"/>
          <w:szCs w:val="22"/>
        </w:rPr>
      </w:pPr>
      <w:r>
        <w:rPr>
          <w:rFonts w:cs="Calibri" w:ascii="Calibri" w:hAnsi="Calibri"/>
          <w:sz w:val="22"/>
          <w:szCs w:val="22"/>
        </w:rPr>
        <w:t>I dati confermano un trend presente da tempo, che vede i nostri servizi nella parte bassa della media regionale per diversi indicatori. Da una lettura complessiva che tenga conto anche del periodo post-pandemico, gli indicatori del 2022 suggeriscono una sostanziale tenuta dei servizi, mostrando una buona performance sulla appropriatezza psicoterapeutica (Tabella 24).</w:t>
      </w:r>
    </w:p>
    <w:p>
      <w:pPr>
        <w:pStyle w:val="Normal"/>
        <w:spacing w:lineRule="atLeast" w:line="320" w:before="0" w:after="120"/>
        <w:rPr>
          <w:color w:val="000000"/>
        </w:rPr>
      </w:pPr>
      <w:r>
        <w:rPr>
          <w:rFonts w:cs="Calibri" w:ascii="Calibri" w:hAnsi="Calibri"/>
          <w:b/>
          <w:bCs/>
          <w:color w:val="000000"/>
          <w:sz w:val="22"/>
          <w:szCs w:val="22"/>
        </w:rPr>
        <w:t>Tabella 24. Indicatori MES su salute mentale dell’AUSL Toscana Centro, anno 2022</w:t>
      </w:r>
    </w:p>
    <w:tbl>
      <w:tblPr>
        <w:tblW w:w="977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475"/>
        <w:gridCol w:w="1070"/>
        <w:gridCol w:w="833"/>
        <w:gridCol w:w="1017"/>
        <w:gridCol w:w="792"/>
        <w:gridCol w:w="512"/>
        <w:gridCol w:w="1076"/>
      </w:tblGrid>
      <w:tr>
        <w:trPr>
          <w:trHeight w:val="227" w:hRule="atLeast"/>
        </w:trPr>
        <w:tc>
          <w:tcPr>
            <w:tcW w:w="4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Indicatore</w:t>
            </w:r>
          </w:p>
        </w:tc>
        <w:tc>
          <w:tcPr>
            <w:tcW w:w="1070"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Valore 2021</w:t>
            </w:r>
          </w:p>
        </w:tc>
        <w:tc>
          <w:tcPr>
            <w:tcW w:w="833"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Valore 2022</w:t>
            </w:r>
          </w:p>
        </w:tc>
        <w:tc>
          <w:tcPr>
            <w:tcW w:w="101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Valutazione 2022</w:t>
            </w:r>
          </w:p>
        </w:tc>
        <w:tc>
          <w:tcPr>
            <w:tcW w:w="792"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Δ (%)</w:t>
            </w:r>
          </w:p>
        </w:tc>
        <w:tc>
          <w:tcPr>
            <w:tcW w:w="512"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Δ CV</w:t>
            </w:r>
          </w:p>
        </w:tc>
        <w:tc>
          <w:tcPr>
            <w:tcW w:w="107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b/>
                <w:b/>
                <w:bCs/>
                <w:color w:val="000000"/>
                <w:sz w:val="16"/>
                <w:szCs w:val="16"/>
              </w:rPr>
            </w:pPr>
            <w:r>
              <w:rPr>
                <w:rFonts w:cs="Calibri" w:ascii="Calibri" w:hAnsi="Calibri"/>
                <w:b/>
                <w:bCs/>
                <w:color w:val="000000"/>
                <w:sz w:val="16"/>
                <w:szCs w:val="16"/>
              </w:rPr>
              <w:t>Variabilità</w:t>
            </w:r>
          </w:p>
        </w:tc>
      </w:tr>
      <w:tr>
        <w:trPr>
          <w:trHeight w:val="227" w:hRule="atLeast"/>
        </w:trPr>
        <w:tc>
          <w:tcPr>
            <w:tcW w:w="4475"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C15.10 % di trattamenti multi-professionali</w:t>
            </w:r>
          </w:p>
        </w:tc>
        <w:tc>
          <w:tcPr>
            <w:tcW w:w="1070"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26,99</w:t>
            </w:r>
          </w:p>
        </w:tc>
        <w:tc>
          <w:tcPr>
            <w:tcW w:w="83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31,36</w:t>
            </w:r>
          </w:p>
        </w:tc>
        <w:tc>
          <w:tcPr>
            <w:tcW w:w="1017" w:type="dxa"/>
            <w:tcBorders>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1,89</w:t>
            </w:r>
          </w:p>
        </w:tc>
        <w:tc>
          <w:tcPr>
            <w:tcW w:w="79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16,17</w:t>
            </w:r>
          </w:p>
        </w:tc>
        <w:tc>
          <w:tcPr>
            <w:tcW w:w="51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-0,16</w:t>
            </w:r>
          </w:p>
        </w:tc>
        <w:tc>
          <w:tcPr>
            <w:tcW w:w="1076" w:type="dxa"/>
            <w:tcBorders>
              <w:top w:val="single" w:sz="4" w:space="0" w:color="000000"/>
              <w:left w:val="single" w:sz="4" w:space="0" w:color="000000"/>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r>
        <w:trPr>
          <w:trHeight w:val="227" w:hRule="atLeast"/>
        </w:trPr>
        <w:tc>
          <w:tcPr>
            <w:tcW w:w="4475"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C15.2 Contatto entro 7 giorni con il DSM degli utenti maggiorenni residenti dalla dimissione del ricovero ospedaliero</w:t>
            </w:r>
          </w:p>
        </w:tc>
        <w:tc>
          <w:tcPr>
            <w:tcW w:w="1070"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40,54</w:t>
            </w:r>
          </w:p>
        </w:tc>
        <w:tc>
          <w:tcPr>
            <w:tcW w:w="83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37,73</w:t>
            </w:r>
          </w:p>
        </w:tc>
        <w:tc>
          <w:tcPr>
            <w:tcW w:w="1017" w:type="dxa"/>
            <w:tcBorders>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0,64</w:t>
            </w:r>
          </w:p>
        </w:tc>
        <w:tc>
          <w:tcPr>
            <w:tcW w:w="79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-6,91</w:t>
            </w:r>
          </w:p>
        </w:tc>
        <w:tc>
          <w:tcPr>
            <w:tcW w:w="51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-0,11</w:t>
            </w:r>
          </w:p>
        </w:tc>
        <w:tc>
          <w:tcPr>
            <w:tcW w:w="1076" w:type="dxa"/>
            <w:tcBorders>
              <w:top w:val="single" w:sz="4" w:space="0" w:color="000000"/>
              <w:left w:val="single" w:sz="4" w:space="0" w:color="000000"/>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r>
        <w:trPr>
          <w:trHeight w:val="227" w:hRule="atLeast"/>
        </w:trPr>
        <w:tc>
          <w:tcPr>
            <w:tcW w:w="4475"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C15.4 Appropriatezza psicoterapeutica</w:t>
            </w:r>
          </w:p>
        </w:tc>
        <w:tc>
          <w:tcPr>
            <w:tcW w:w="1070"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36,27</w:t>
            </w:r>
          </w:p>
        </w:tc>
        <w:tc>
          <w:tcPr>
            <w:tcW w:w="83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33,11</w:t>
            </w:r>
          </w:p>
        </w:tc>
        <w:tc>
          <w:tcPr>
            <w:tcW w:w="1017" w:type="dxa"/>
            <w:tcBorders>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3,11</w:t>
            </w:r>
          </w:p>
        </w:tc>
        <w:tc>
          <w:tcPr>
            <w:tcW w:w="79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-8,72</w:t>
            </w:r>
          </w:p>
        </w:tc>
        <w:tc>
          <w:tcPr>
            <w:tcW w:w="51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0,66</w:t>
            </w:r>
          </w:p>
        </w:tc>
        <w:tc>
          <w:tcPr>
            <w:tcW w:w="1076"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Attenzione</w:t>
            </w:r>
          </w:p>
        </w:tc>
      </w:tr>
      <w:tr>
        <w:trPr>
          <w:trHeight w:val="227" w:hRule="atLeast"/>
        </w:trPr>
        <w:tc>
          <w:tcPr>
            <w:tcW w:w="4475"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C15A.13.2 % di ricoveri ripetuti entro 7 giorni per patologie psichiatriche</w:t>
            </w:r>
          </w:p>
        </w:tc>
        <w:tc>
          <w:tcPr>
            <w:tcW w:w="1070"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6,31</w:t>
            </w:r>
          </w:p>
        </w:tc>
        <w:tc>
          <w:tcPr>
            <w:tcW w:w="83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5,88</w:t>
            </w:r>
          </w:p>
        </w:tc>
        <w:tc>
          <w:tcPr>
            <w:tcW w:w="1017" w:type="dxa"/>
            <w:tcBorders>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1,09</w:t>
            </w:r>
          </w:p>
        </w:tc>
        <w:tc>
          <w:tcPr>
            <w:tcW w:w="79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6,83</w:t>
            </w:r>
          </w:p>
        </w:tc>
        <w:tc>
          <w:tcPr>
            <w:tcW w:w="51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-0,04</w:t>
            </w:r>
          </w:p>
        </w:tc>
        <w:tc>
          <w:tcPr>
            <w:tcW w:w="1076" w:type="dxa"/>
            <w:tcBorders>
              <w:top w:val="single" w:sz="4" w:space="0" w:color="000000"/>
              <w:left w:val="single" w:sz="4" w:space="0" w:color="000000"/>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r>
        <w:trPr>
          <w:trHeight w:val="227" w:hRule="atLeast"/>
        </w:trPr>
        <w:tc>
          <w:tcPr>
            <w:tcW w:w="4475"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rFonts w:ascii="Calibri" w:hAnsi="Calibri" w:cs="Calibri"/>
                <w:color w:val="000000"/>
                <w:sz w:val="16"/>
                <w:szCs w:val="16"/>
              </w:rPr>
            </w:pPr>
            <w:r>
              <w:rPr>
                <w:rFonts w:cs="Calibri" w:ascii="Calibri" w:hAnsi="Calibri"/>
                <w:color w:val="000000"/>
                <w:sz w:val="16"/>
                <w:szCs w:val="16"/>
              </w:rPr>
              <w:t>C15A.13A % di ricoveri ripetuti fra 8 e 30 giorni per patologie psichiatriche</w:t>
            </w:r>
          </w:p>
        </w:tc>
        <w:tc>
          <w:tcPr>
            <w:tcW w:w="1070"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6,52</w:t>
            </w:r>
          </w:p>
        </w:tc>
        <w:tc>
          <w:tcPr>
            <w:tcW w:w="833"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6,71</w:t>
            </w:r>
          </w:p>
        </w:tc>
        <w:tc>
          <w:tcPr>
            <w:tcW w:w="1017" w:type="dxa"/>
            <w:tcBorders>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1,49</w:t>
            </w:r>
          </w:p>
        </w:tc>
        <w:tc>
          <w:tcPr>
            <w:tcW w:w="79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-2,85</w:t>
            </w:r>
          </w:p>
        </w:tc>
        <w:tc>
          <w:tcPr>
            <w:tcW w:w="51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-0,27</w:t>
            </w:r>
          </w:p>
        </w:tc>
        <w:tc>
          <w:tcPr>
            <w:tcW w:w="1076" w:type="dxa"/>
            <w:tcBorders>
              <w:top w:val="single" w:sz="4" w:space="0" w:color="000000"/>
              <w:left w:val="single" w:sz="4" w:space="0" w:color="000000"/>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Criticità</w:t>
            </w:r>
          </w:p>
        </w:tc>
      </w:tr>
    </w:tbl>
    <w:p>
      <w:pPr>
        <w:pStyle w:val="Normal"/>
        <w:spacing w:lineRule="atLeast" w:line="320" w:before="0" w:after="120"/>
        <w:rPr>
          <w:rFonts w:ascii="Calibri" w:hAnsi="Calibri" w:cs="Calibri"/>
          <w:sz w:val="22"/>
          <w:szCs w:val="22"/>
        </w:rPr>
      </w:pPr>
      <w:r>
        <w:rPr>
          <w:rFonts w:cs="Calibri" w:ascii="Calibri" w:hAnsi="Calibri"/>
          <w:sz w:val="22"/>
          <w:szCs w:val="22"/>
        </w:rPr>
      </w:r>
    </w:p>
    <w:p>
      <w:pPr>
        <w:pStyle w:val="Titolo2"/>
        <w:spacing w:lineRule="auto" w:line="360"/>
        <w:jc w:val="both"/>
        <w:rPr>
          <w:rFonts w:ascii="Calibri" w:hAnsi="Calibri" w:cs="Calibri"/>
          <w:i w:val="false"/>
          <w:i w:val="false"/>
          <w:iCs w:val="false"/>
          <w:sz w:val="22"/>
          <w:szCs w:val="22"/>
        </w:rPr>
      </w:pPr>
      <w:bookmarkStart w:id="34" w:name="_Toc152228354"/>
      <w:r>
        <w:rPr>
          <w:rFonts w:cs="Calibri" w:ascii="Calibri" w:hAnsi="Calibri"/>
          <w:i w:val="false"/>
          <w:iCs w:val="false"/>
          <w:sz w:val="22"/>
          <w:szCs w:val="22"/>
        </w:rPr>
        <w:t>2.4.10 LA PRESA IN CARICO INTEGRATA DI ANZIANI NON AUTOSUFFICIENTI</w:t>
      </w:r>
      <w:bookmarkEnd w:id="34"/>
    </w:p>
    <w:p>
      <w:pPr>
        <w:pStyle w:val="Normal"/>
        <w:spacing w:lineRule="auto" w:line="276"/>
        <w:jc w:val="both"/>
        <w:rPr>
          <w:rFonts w:ascii="Calibri" w:hAnsi="Calibri" w:cs="Calibri"/>
          <w:sz w:val="22"/>
          <w:szCs w:val="22"/>
        </w:rPr>
      </w:pPr>
      <w:r>
        <w:rPr>
          <w:rFonts w:cs="Calibri" w:ascii="Calibri" w:hAnsi="Calibri"/>
          <w:sz w:val="22"/>
          <w:szCs w:val="22"/>
        </w:rPr>
        <w:t>La Legge Regionale n.66/2008 "</w:t>
      </w:r>
      <w:r>
        <w:rPr>
          <w:rFonts w:cs="Calibri" w:ascii="Calibri" w:hAnsi="Calibri"/>
          <w:i/>
          <w:sz w:val="22"/>
          <w:szCs w:val="22"/>
        </w:rPr>
        <w:t>Istituzione del Fondo regionale per la non autosufficienza</w:t>
      </w:r>
      <w:r>
        <w:rPr>
          <w:rFonts w:cs="Calibri" w:ascii="Calibri" w:hAnsi="Calibri"/>
          <w:sz w:val="22"/>
          <w:szCs w:val="22"/>
        </w:rPr>
        <w:t>" e la DGRT 370/2010 "</w:t>
      </w:r>
      <w:r>
        <w:rPr>
          <w:rFonts w:cs="Calibri" w:ascii="Calibri" w:hAnsi="Calibri"/>
          <w:i/>
          <w:sz w:val="22"/>
          <w:szCs w:val="22"/>
        </w:rPr>
        <w:t>Approvazione progetto regionale per l'assistenza continua alla persona non autosufficiente</w:t>
      </w:r>
      <w:r>
        <w:rPr>
          <w:rFonts w:cs="Calibri" w:ascii="Calibri" w:hAnsi="Calibri"/>
          <w:sz w:val="22"/>
          <w:szCs w:val="22"/>
        </w:rPr>
        <w:t>" dettano le linee guida per l'assistenza alle persone non autosufficienti, prevedendo:</w:t>
      </w:r>
    </w:p>
    <w:p>
      <w:pPr>
        <w:pStyle w:val="Normal"/>
        <w:numPr>
          <w:ilvl w:val="0"/>
          <w:numId w:val="4"/>
        </w:numPr>
        <w:suppressAutoHyphens w:val="false"/>
        <w:spacing w:lineRule="auto" w:line="276"/>
        <w:jc w:val="both"/>
        <w:rPr>
          <w:rFonts w:ascii="Calibri" w:hAnsi="Calibri" w:cs="Calibri"/>
          <w:sz w:val="22"/>
          <w:szCs w:val="22"/>
        </w:rPr>
      </w:pPr>
      <w:hyperlink r:id="rId32" w:tgtFrame="_blank">
        <w:r>
          <w:rPr>
            <w:rFonts w:cs="Calibri" w:ascii="Calibri" w:hAnsi="Calibri"/>
            <w:sz w:val="22"/>
            <w:szCs w:val="22"/>
          </w:rPr>
          <w:t>Punti Insieme</w:t>
        </w:r>
      </w:hyperlink>
      <w:r>
        <w:rPr>
          <w:rFonts w:cs="Calibri" w:ascii="Calibri" w:hAnsi="Calibri"/>
          <w:sz w:val="22"/>
          <w:szCs w:val="22"/>
        </w:rPr>
        <w:t>, presenti su tutto il territorio, finalizzati ad accesso, accoglienza, informazione e orientamento alle diverse opportunità/tipologie di assistenza;</w:t>
      </w:r>
    </w:p>
    <w:p>
      <w:pPr>
        <w:pStyle w:val="Normal"/>
        <w:numPr>
          <w:ilvl w:val="0"/>
          <w:numId w:val="4"/>
        </w:numPr>
        <w:suppressAutoHyphens w:val="false"/>
        <w:spacing w:lineRule="auto" w:line="276"/>
        <w:jc w:val="both"/>
        <w:rPr>
          <w:rFonts w:ascii="Calibri" w:hAnsi="Calibri" w:cs="Calibri"/>
          <w:sz w:val="22"/>
          <w:szCs w:val="22"/>
        </w:rPr>
      </w:pPr>
      <w:r>
        <w:rPr>
          <w:rFonts w:cs="Calibri" w:ascii="Calibri" w:hAnsi="Calibri"/>
          <w:sz w:val="22"/>
          <w:szCs w:val="22"/>
        </w:rPr>
        <w:t>Unità di Valutazione Multidisciplinare (UVM) in ogni ambito zonale;</w:t>
      </w:r>
    </w:p>
    <w:p>
      <w:pPr>
        <w:pStyle w:val="Normal"/>
        <w:numPr>
          <w:ilvl w:val="0"/>
          <w:numId w:val="4"/>
        </w:numPr>
        <w:suppressAutoHyphens w:val="false"/>
        <w:spacing w:lineRule="auto" w:line="276"/>
        <w:jc w:val="both"/>
        <w:rPr>
          <w:rFonts w:ascii="Calibri" w:hAnsi="Calibri" w:cs="Calibri"/>
          <w:sz w:val="22"/>
          <w:szCs w:val="22"/>
        </w:rPr>
      </w:pPr>
      <w:r>
        <w:rPr>
          <w:rFonts w:cs="Calibri" w:ascii="Calibri" w:hAnsi="Calibri"/>
          <w:sz w:val="22"/>
          <w:szCs w:val="22"/>
        </w:rPr>
        <w:t>Piano personalizzato di assistenza (PAP), elaborato dalla UVM che individua gli obiettivi e gli esiti attesi in termini di mantenimento o miglioramento delle condizioni di salute della persona.</w:t>
      </w:r>
    </w:p>
    <w:p>
      <w:pPr>
        <w:pStyle w:val="NormalWeb"/>
        <w:spacing w:lineRule="auto" w:line="276" w:before="280" w:after="280"/>
        <w:jc w:val="both"/>
        <w:rPr>
          <w:rFonts w:ascii="Calibri" w:hAnsi="Calibri" w:cs="Calibri"/>
          <w:sz w:val="22"/>
          <w:szCs w:val="22"/>
          <w:lang w:eastAsia="en-US"/>
        </w:rPr>
      </w:pPr>
      <w:r>
        <w:rPr>
          <w:rFonts w:cs="Calibri" w:ascii="Calibri" w:hAnsi="Calibri"/>
          <w:sz w:val="22"/>
          <w:szCs w:val="22"/>
          <w:lang w:eastAsia="en-US"/>
        </w:rPr>
        <w:t>Le tipologie di servizi previste dal progetto riguardano i seguenti ambiti: domiciliarità, semi-residenzialità, residenzialità (permanente e/o temporanea e di sollievo).</w:t>
      </w:r>
    </w:p>
    <w:p>
      <w:pPr>
        <w:pStyle w:val="NormalWeb"/>
        <w:spacing w:lineRule="auto" w:line="360" w:before="280" w:after="280"/>
        <w:jc w:val="both"/>
        <w:rPr>
          <w:rFonts w:ascii="Calibri" w:hAnsi="Calibri" w:cs="Calibri"/>
          <w:sz w:val="22"/>
          <w:szCs w:val="22"/>
          <w:lang w:eastAsia="en-US"/>
        </w:rPr>
      </w:pPr>
      <w:r>
        <w:rPr>
          <w:rFonts w:cs="Calibri" w:ascii="Calibri" w:hAnsi="Calibri"/>
          <w:sz w:val="22"/>
          <w:szCs w:val="22"/>
          <w:lang w:eastAsia="en-US"/>
        </w:rPr>
      </w:r>
    </w:p>
    <w:p>
      <w:pPr>
        <w:pStyle w:val="NormalWeb"/>
        <w:numPr>
          <w:ilvl w:val="0"/>
          <w:numId w:val="5"/>
        </w:numPr>
        <w:spacing w:lineRule="auto" w:line="360" w:before="280" w:after="280"/>
        <w:ind w:left="284" w:hanging="284"/>
        <w:jc w:val="both"/>
        <w:rPr>
          <w:rFonts w:ascii="Calibri" w:hAnsi="Calibri" w:cs="Calibri"/>
          <w:b/>
          <w:b/>
          <w:sz w:val="22"/>
          <w:szCs w:val="22"/>
          <w:lang w:eastAsia="en-US"/>
        </w:rPr>
      </w:pPr>
      <w:r>
        <w:rPr>
          <w:rFonts w:cs="Calibri" w:ascii="Calibri" w:hAnsi="Calibri"/>
          <w:b/>
          <w:sz w:val="22"/>
          <w:szCs w:val="22"/>
          <w:lang w:eastAsia="en-US"/>
        </w:rPr>
        <w:t>Area della domiciliarità</w:t>
      </w:r>
    </w:p>
    <w:p>
      <w:pPr>
        <w:pStyle w:val="NormalWeb"/>
        <w:spacing w:lineRule="auto" w:line="276" w:before="280" w:after="280"/>
        <w:jc w:val="both"/>
        <w:rPr>
          <w:rFonts w:ascii="Calibri" w:hAnsi="Calibri" w:cs="Calibri"/>
          <w:sz w:val="22"/>
          <w:szCs w:val="22"/>
          <w:lang w:eastAsia="en-US"/>
        </w:rPr>
      </w:pPr>
      <w:r>
        <w:rPr>
          <w:rFonts w:cs="Calibri" w:ascii="Calibri" w:hAnsi="Calibri"/>
          <w:sz w:val="22"/>
          <w:szCs w:val="22"/>
          <w:lang w:eastAsia="en-US"/>
        </w:rPr>
        <w:t>Le cure domiciliari che vengono erogate sul territorio della Toscana Centro sono tipologie diverse di assistenza domiciliare (assistenza domiciliare tutelare, assistenza domiciliare per interventi di natura sanitaria (AD solo sanitaria), assistenza domiciliare integrata (ADI), assistenza domiciliare programmata (ADP). Sul territorio dell’Azienda Usl Toscana Centro le prestazioni di assistenza domiciliare erogate dalle SdS/ZD nel 2022 superano complessivamente i 758.889 accessi domiciliari, di cui l’84.74% a favore di persone ultrasessantacinquenni (Tabella 24a).</w:t>
      </w:r>
    </w:p>
    <w:p>
      <w:pPr>
        <w:pStyle w:val="NormalWeb"/>
        <w:spacing w:lineRule="auto" w:line="276" w:before="280" w:after="280"/>
        <w:jc w:val="both"/>
        <w:rPr>
          <w:rFonts w:ascii="Calibri" w:hAnsi="Calibri" w:cs="Calibri"/>
          <w:b/>
          <w:b/>
          <w:sz w:val="22"/>
          <w:szCs w:val="22"/>
          <w:lang w:eastAsia="en-US"/>
        </w:rPr>
      </w:pPr>
      <w:r>
        <w:rPr>
          <w:rFonts w:cs="Calibri" w:ascii="Calibri" w:hAnsi="Calibri"/>
          <w:b/>
          <w:sz w:val="22"/>
          <w:szCs w:val="22"/>
          <w:lang w:eastAsia="en-US"/>
        </w:rPr>
        <w:t>Tabella 24a. Assistenza domiciliare, erogazioni per tipo di percorso, AUSL TC anno 2022</w:t>
      </w:r>
    </w:p>
    <w:tbl>
      <w:tblPr>
        <w:tblW w:w="10221"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989"/>
        <w:gridCol w:w="534"/>
        <w:gridCol w:w="536"/>
        <w:gridCol w:w="477"/>
        <w:gridCol w:w="479"/>
        <w:gridCol w:w="535"/>
        <w:gridCol w:w="539"/>
        <w:gridCol w:w="475"/>
        <w:gridCol w:w="479"/>
        <w:gridCol w:w="434"/>
        <w:gridCol w:w="505"/>
        <w:gridCol w:w="475"/>
        <w:gridCol w:w="477"/>
        <w:gridCol w:w="436"/>
        <w:gridCol w:w="514"/>
        <w:gridCol w:w="537"/>
        <w:gridCol w:w="539"/>
        <w:gridCol w:w="632"/>
        <w:gridCol w:w="628"/>
      </w:tblGrid>
      <w:tr>
        <w:trPr>
          <w:trHeight w:val="340" w:hRule="atLeast"/>
        </w:trPr>
        <w:tc>
          <w:tcPr>
            <w:tcW w:w="989" w:type="dxa"/>
            <w:vMerge w:val="restart"/>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Assistenza</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Domiciliare</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Erogazioni</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 xml:space="preserve">per tipo </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percorso</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Anno 2022</w:t>
            </w:r>
          </w:p>
        </w:tc>
        <w:tc>
          <w:tcPr>
            <w:tcW w:w="1070" w:type="dxa"/>
            <w:gridSpan w:val="2"/>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ADI</w:t>
            </w:r>
          </w:p>
        </w:tc>
        <w:tc>
          <w:tcPr>
            <w:tcW w:w="956" w:type="dxa"/>
            <w:gridSpan w:val="2"/>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ADP</w:t>
            </w:r>
          </w:p>
        </w:tc>
        <w:tc>
          <w:tcPr>
            <w:tcW w:w="1074" w:type="dxa"/>
            <w:gridSpan w:val="2"/>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 xml:space="preserve">AD solo </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sanitaria</w:t>
            </w:r>
          </w:p>
        </w:tc>
        <w:tc>
          <w:tcPr>
            <w:tcW w:w="954" w:type="dxa"/>
            <w:gridSpan w:val="2"/>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 xml:space="preserve">Cure </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 xml:space="preserve">Intermedie </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 xml:space="preserve">attivate da </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ACOT</w:t>
            </w:r>
          </w:p>
        </w:tc>
        <w:tc>
          <w:tcPr>
            <w:tcW w:w="939" w:type="dxa"/>
            <w:gridSpan w:val="2"/>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 xml:space="preserve">Cure </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Intermedie</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 xml:space="preserve"> </w:t>
            </w:r>
            <w:r>
              <w:rPr>
                <w:rFonts w:cs="Calibri" w:ascii="Calibri" w:hAnsi="Calibri" w:asciiTheme="minorHAnsi" w:cstheme="minorHAnsi" w:hAnsiTheme="minorHAnsi"/>
                <w:b/>
                <w:bCs/>
                <w:color w:val="000000"/>
                <w:sz w:val="12"/>
                <w:szCs w:val="12"/>
              </w:rPr>
              <w:t xml:space="preserve">attivate </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 xml:space="preserve">da medico di </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distretto</w:t>
            </w:r>
          </w:p>
        </w:tc>
        <w:tc>
          <w:tcPr>
            <w:tcW w:w="952" w:type="dxa"/>
            <w:gridSpan w:val="2"/>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 xml:space="preserve">Cure </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 xml:space="preserve">Palliative </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Domiciliari</w:t>
            </w:r>
          </w:p>
        </w:tc>
        <w:tc>
          <w:tcPr>
            <w:tcW w:w="950" w:type="dxa"/>
            <w:gridSpan w:val="2"/>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 xml:space="preserve">Presa in </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 xml:space="preserve">carico per </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 xml:space="preserve">stati </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vegetativi</w:t>
            </w:r>
          </w:p>
        </w:tc>
        <w:tc>
          <w:tcPr>
            <w:tcW w:w="1076" w:type="dxa"/>
            <w:gridSpan w:val="2"/>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 xml:space="preserve">UVM Standard </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(PAP)</w:t>
            </w:r>
          </w:p>
        </w:tc>
        <w:tc>
          <w:tcPr>
            <w:tcW w:w="1260" w:type="dxa"/>
            <w:gridSpan w:val="2"/>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Totale</w:t>
            </w:r>
          </w:p>
        </w:tc>
      </w:tr>
      <w:tr>
        <w:trPr>
          <w:trHeight w:val="340" w:hRule="atLeast"/>
        </w:trPr>
        <w:tc>
          <w:tcPr>
            <w:tcW w:w="98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cstheme="minorHAnsi" w:ascii="Calibri" w:hAnsi="Calibri"/>
                <w:b/>
                <w:bCs/>
                <w:color w:val="000000"/>
                <w:sz w:val="12"/>
                <w:szCs w:val="12"/>
              </w:rPr>
            </w:r>
          </w:p>
        </w:tc>
        <w:tc>
          <w:tcPr>
            <w:tcW w:w="534"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eroga-</w:t>
            </w:r>
          </w:p>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zioni</w:t>
            </w:r>
          </w:p>
        </w:tc>
        <w:tc>
          <w:tcPr>
            <w:tcW w:w="536"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i/>
                <w:i/>
                <w:iCs/>
                <w:color w:val="000000"/>
                <w:sz w:val="11"/>
                <w:szCs w:val="11"/>
              </w:rPr>
            </w:pPr>
            <w:r>
              <w:rPr>
                <w:rFonts w:cs="Calibri" w:ascii="Calibri" w:hAnsi="Calibri" w:asciiTheme="minorHAnsi" w:cstheme="minorHAnsi" w:hAnsiTheme="minorHAnsi"/>
                <w:b/>
                <w:bCs/>
                <w:i/>
                <w:iCs/>
                <w:color w:val="000000"/>
                <w:sz w:val="11"/>
                <w:szCs w:val="11"/>
              </w:rPr>
              <w:t xml:space="preserve">di cui </w:t>
            </w:r>
          </w:p>
          <w:p>
            <w:pPr>
              <w:pStyle w:val="Normal"/>
              <w:widowControl w:val="false"/>
              <w:suppressAutoHyphens w:val="false"/>
              <w:jc w:val="center"/>
              <w:rPr>
                <w:rFonts w:ascii="Calibri" w:hAnsi="Calibri" w:cs="Calibri" w:asciiTheme="minorHAnsi" w:cstheme="minorHAnsi" w:hAnsiTheme="minorHAnsi"/>
                <w:b/>
                <w:b/>
                <w:bCs/>
                <w:i/>
                <w:i/>
                <w:iCs/>
                <w:color w:val="000000"/>
                <w:sz w:val="11"/>
                <w:szCs w:val="11"/>
              </w:rPr>
            </w:pPr>
            <w:r>
              <w:rPr>
                <w:rFonts w:cs="Calibri" w:ascii="Calibri" w:hAnsi="Calibri" w:asciiTheme="minorHAnsi" w:cstheme="minorHAnsi" w:hAnsiTheme="minorHAnsi"/>
                <w:b/>
                <w:bCs/>
                <w:i/>
                <w:iCs/>
                <w:color w:val="000000"/>
                <w:sz w:val="11"/>
                <w:szCs w:val="11"/>
              </w:rPr>
              <w:t>anziani</w:t>
            </w:r>
          </w:p>
        </w:tc>
        <w:tc>
          <w:tcPr>
            <w:tcW w:w="477"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eroga-</w:t>
            </w:r>
          </w:p>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zioni</w:t>
            </w:r>
          </w:p>
        </w:tc>
        <w:tc>
          <w:tcPr>
            <w:tcW w:w="479"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i/>
                <w:i/>
                <w:iCs/>
                <w:color w:val="000000"/>
                <w:sz w:val="11"/>
                <w:szCs w:val="11"/>
              </w:rPr>
            </w:pPr>
            <w:r>
              <w:rPr>
                <w:rFonts w:cs="Calibri" w:ascii="Calibri" w:hAnsi="Calibri" w:asciiTheme="minorHAnsi" w:cstheme="minorHAnsi" w:hAnsiTheme="minorHAnsi"/>
                <w:b/>
                <w:bCs/>
                <w:i/>
                <w:iCs/>
                <w:color w:val="000000"/>
                <w:sz w:val="11"/>
                <w:szCs w:val="11"/>
              </w:rPr>
              <w:t>di cui</w:t>
            </w:r>
          </w:p>
          <w:p>
            <w:pPr>
              <w:pStyle w:val="Normal"/>
              <w:widowControl w:val="false"/>
              <w:suppressAutoHyphens w:val="false"/>
              <w:jc w:val="center"/>
              <w:rPr>
                <w:rFonts w:ascii="Calibri" w:hAnsi="Calibri" w:cs="Calibri" w:asciiTheme="minorHAnsi" w:cstheme="minorHAnsi" w:hAnsiTheme="minorHAnsi"/>
                <w:b/>
                <w:b/>
                <w:bCs/>
                <w:i/>
                <w:i/>
                <w:iCs/>
                <w:color w:val="000000"/>
                <w:sz w:val="11"/>
                <w:szCs w:val="11"/>
              </w:rPr>
            </w:pPr>
            <w:r>
              <w:rPr>
                <w:rFonts w:cs="Calibri" w:ascii="Calibri" w:hAnsi="Calibri" w:asciiTheme="minorHAnsi" w:cstheme="minorHAnsi" w:hAnsiTheme="minorHAnsi"/>
                <w:b/>
                <w:bCs/>
                <w:i/>
                <w:iCs/>
                <w:color w:val="000000"/>
                <w:sz w:val="11"/>
                <w:szCs w:val="11"/>
              </w:rPr>
              <w:t xml:space="preserve"> </w:t>
            </w:r>
            <w:r>
              <w:rPr>
                <w:rFonts w:cs="Calibri" w:ascii="Calibri" w:hAnsi="Calibri" w:asciiTheme="minorHAnsi" w:cstheme="minorHAnsi" w:hAnsiTheme="minorHAnsi"/>
                <w:b/>
                <w:bCs/>
                <w:i/>
                <w:iCs/>
                <w:color w:val="000000"/>
                <w:sz w:val="11"/>
                <w:szCs w:val="11"/>
              </w:rPr>
              <w:t>anziani</w:t>
            </w:r>
          </w:p>
        </w:tc>
        <w:tc>
          <w:tcPr>
            <w:tcW w:w="535"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eroga-</w:t>
            </w:r>
          </w:p>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zioni</w:t>
            </w:r>
          </w:p>
        </w:tc>
        <w:tc>
          <w:tcPr>
            <w:tcW w:w="539"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i/>
                <w:i/>
                <w:iCs/>
                <w:color w:val="000000"/>
                <w:sz w:val="11"/>
                <w:szCs w:val="11"/>
              </w:rPr>
            </w:pPr>
            <w:r>
              <w:rPr>
                <w:rFonts w:cs="Calibri" w:ascii="Calibri" w:hAnsi="Calibri" w:asciiTheme="minorHAnsi" w:cstheme="minorHAnsi" w:hAnsiTheme="minorHAnsi"/>
                <w:b/>
                <w:bCs/>
                <w:i/>
                <w:iCs/>
                <w:color w:val="000000"/>
                <w:sz w:val="11"/>
                <w:szCs w:val="11"/>
              </w:rPr>
              <w:t>di cui</w:t>
            </w:r>
          </w:p>
          <w:p>
            <w:pPr>
              <w:pStyle w:val="Normal"/>
              <w:widowControl w:val="false"/>
              <w:suppressAutoHyphens w:val="false"/>
              <w:jc w:val="center"/>
              <w:rPr>
                <w:rFonts w:ascii="Calibri" w:hAnsi="Calibri" w:cs="Calibri" w:asciiTheme="minorHAnsi" w:cstheme="minorHAnsi" w:hAnsiTheme="minorHAnsi"/>
                <w:b/>
                <w:b/>
                <w:bCs/>
                <w:i/>
                <w:i/>
                <w:iCs/>
                <w:color w:val="000000"/>
                <w:sz w:val="11"/>
                <w:szCs w:val="11"/>
              </w:rPr>
            </w:pPr>
            <w:r>
              <w:rPr>
                <w:rFonts w:cs="Calibri" w:ascii="Calibri" w:hAnsi="Calibri" w:asciiTheme="minorHAnsi" w:cstheme="minorHAnsi" w:hAnsiTheme="minorHAnsi"/>
                <w:b/>
                <w:bCs/>
                <w:i/>
                <w:iCs/>
                <w:color w:val="000000"/>
                <w:sz w:val="11"/>
                <w:szCs w:val="11"/>
              </w:rPr>
              <w:t xml:space="preserve"> </w:t>
            </w:r>
            <w:r>
              <w:rPr>
                <w:rFonts w:cs="Calibri" w:ascii="Calibri" w:hAnsi="Calibri" w:asciiTheme="minorHAnsi" w:cstheme="minorHAnsi" w:hAnsiTheme="minorHAnsi"/>
                <w:b/>
                <w:bCs/>
                <w:i/>
                <w:iCs/>
                <w:color w:val="000000"/>
                <w:sz w:val="11"/>
                <w:szCs w:val="11"/>
              </w:rPr>
              <w:t>anziani</w:t>
            </w:r>
          </w:p>
        </w:tc>
        <w:tc>
          <w:tcPr>
            <w:tcW w:w="475"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eroga-</w:t>
            </w:r>
          </w:p>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zioni</w:t>
            </w:r>
          </w:p>
        </w:tc>
        <w:tc>
          <w:tcPr>
            <w:tcW w:w="479"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i/>
                <w:i/>
                <w:iCs/>
                <w:color w:val="000000"/>
                <w:sz w:val="11"/>
                <w:szCs w:val="11"/>
              </w:rPr>
            </w:pPr>
            <w:r>
              <w:rPr>
                <w:rFonts w:cs="Calibri" w:ascii="Calibri" w:hAnsi="Calibri" w:asciiTheme="minorHAnsi" w:cstheme="minorHAnsi" w:hAnsiTheme="minorHAnsi"/>
                <w:b/>
                <w:bCs/>
                <w:i/>
                <w:iCs/>
                <w:color w:val="000000"/>
                <w:sz w:val="11"/>
                <w:szCs w:val="11"/>
              </w:rPr>
              <w:t>di cui</w:t>
            </w:r>
          </w:p>
          <w:p>
            <w:pPr>
              <w:pStyle w:val="Normal"/>
              <w:widowControl w:val="false"/>
              <w:suppressAutoHyphens w:val="false"/>
              <w:jc w:val="center"/>
              <w:rPr>
                <w:rFonts w:ascii="Calibri" w:hAnsi="Calibri" w:cs="Calibri" w:asciiTheme="minorHAnsi" w:cstheme="minorHAnsi" w:hAnsiTheme="minorHAnsi"/>
                <w:b/>
                <w:b/>
                <w:bCs/>
                <w:i/>
                <w:i/>
                <w:iCs/>
                <w:color w:val="000000"/>
                <w:sz w:val="11"/>
                <w:szCs w:val="11"/>
              </w:rPr>
            </w:pPr>
            <w:r>
              <w:rPr>
                <w:rFonts w:cs="Calibri" w:ascii="Calibri" w:hAnsi="Calibri" w:asciiTheme="minorHAnsi" w:cstheme="minorHAnsi" w:hAnsiTheme="minorHAnsi"/>
                <w:b/>
                <w:bCs/>
                <w:i/>
                <w:iCs/>
                <w:color w:val="000000"/>
                <w:sz w:val="11"/>
                <w:szCs w:val="11"/>
              </w:rPr>
              <w:t xml:space="preserve"> </w:t>
            </w:r>
            <w:r>
              <w:rPr>
                <w:rFonts w:cs="Calibri" w:ascii="Calibri" w:hAnsi="Calibri" w:asciiTheme="minorHAnsi" w:cstheme="minorHAnsi" w:hAnsiTheme="minorHAnsi"/>
                <w:b/>
                <w:bCs/>
                <w:i/>
                <w:iCs/>
                <w:color w:val="000000"/>
                <w:sz w:val="11"/>
                <w:szCs w:val="11"/>
              </w:rPr>
              <w:t>anziani</w:t>
            </w:r>
          </w:p>
        </w:tc>
        <w:tc>
          <w:tcPr>
            <w:tcW w:w="434"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eroga-</w:t>
            </w:r>
          </w:p>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zioni</w:t>
            </w:r>
          </w:p>
        </w:tc>
        <w:tc>
          <w:tcPr>
            <w:tcW w:w="505"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i/>
                <w:i/>
                <w:iCs/>
                <w:color w:val="000000"/>
                <w:sz w:val="11"/>
                <w:szCs w:val="11"/>
              </w:rPr>
            </w:pPr>
            <w:r>
              <w:rPr>
                <w:rFonts w:cs="Calibri" w:ascii="Calibri" w:hAnsi="Calibri" w:asciiTheme="minorHAnsi" w:cstheme="minorHAnsi" w:hAnsiTheme="minorHAnsi"/>
                <w:b/>
                <w:bCs/>
                <w:i/>
                <w:iCs/>
                <w:color w:val="000000"/>
                <w:sz w:val="11"/>
                <w:szCs w:val="11"/>
              </w:rPr>
              <w:t xml:space="preserve">di cui </w:t>
            </w:r>
          </w:p>
          <w:p>
            <w:pPr>
              <w:pStyle w:val="Normal"/>
              <w:widowControl w:val="false"/>
              <w:suppressAutoHyphens w:val="false"/>
              <w:jc w:val="center"/>
              <w:rPr>
                <w:rFonts w:ascii="Calibri" w:hAnsi="Calibri" w:cs="Calibri" w:asciiTheme="minorHAnsi" w:cstheme="minorHAnsi" w:hAnsiTheme="minorHAnsi"/>
                <w:b/>
                <w:b/>
                <w:bCs/>
                <w:i/>
                <w:i/>
                <w:iCs/>
                <w:color w:val="000000"/>
                <w:sz w:val="11"/>
                <w:szCs w:val="11"/>
              </w:rPr>
            </w:pPr>
            <w:r>
              <w:rPr>
                <w:rFonts w:cs="Calibri" w:ascii="Calibri" w:hAnsi="Calibri" w:asciiTheme="minorHAnsi" w:cstheme="minorHAnsi" w:hAnsiTheme="minorHAnsi"/>
                <w:b/>
                <w:bCs/>
                <w:i/>
                <w:iCs/>
                <w:color w:val="000000"/>
                <w:sz w:val="11"/>
                <w:szCs w:val="11"/>
              </w:rPr>
              <w:t>anziani</w:t>
            </w:r>
          </w:p>
        </w:tc>
        <w:tc>
          <w:tcPr>
            <w:tcW w:w="475"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eroga-</w:t>
            </w:r>
          </w:p>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zioni</w:t>
            </w:r>
          </w:p>
        </w:tc>
        <w:tc>
          <w:tcPr>
            <w:tcW w:w="477"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i/>
                <w:i/>
                <w:iCs/>
                <w:color w:val="000000"/>
                <w:sz w:val="11"/>
                <w:szCs w:val="11"/>
              </w:rPr>
            </w:pPr>
            <w:r>
              <w:rPr>
                <w:rFonts w:cs="Calibri" w:ascii="Calibri" w:hAnsi="Calibri" w:asciiTheme="minorHAnsi" w:cstheme="minorHAnsi" w:hAnsiTheme="minorHAnsi"/>
                <w:b/>
                <w:bCs/>
                <w:i/>
                <w:iCs/>
                <w:color w:val="000000"/>
                <w:sz w:val="11"/>
                <w:szCs w:val="11"/>
              </w:rPr>
              <w:t>di cui anziani</w:t>
            </w:r>
          </w:p>
        </w:tc>
        <w:tc>
          <w:tcPr>
            <w:tcW w:w="436"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eroga-</w:t>
            </w:r>
          </w:p>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 xml:space="preserve">zioni </w:t>
            </w:r>
          </w:p>
        </w:tc>
        <w:tc>
          <w:tcPr>
            <w:tcW w:w="514"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i/>
                <w:i/>
                <w:iCs/>
                <w:color w:val="000000"/>
                <w:sz w:val="11"/>
                <w:szCs w:val="11"/>
              </w:rPr>
            </w:pPr>
            <w:r>
              <w:rPr>
                <w:rFonts w:cs="Calibri" w:ascii="Calibri" w:hAnsi="Calibri" w:asciiTheme="minorHAnsi" w:cstheme="minorHAnsi" w:hAnsiTheme="minorHAnsi"/>
                <w:b/>
                <w:bCs/>
                <w:i/>
                <w:iCs/>
                <w:color w:val="000000"/>
                <w:sz w:val="11"/>
                <w:szCs w:val="11"/>
              </w:rPr>
              <w:t>di cui anziani</w:t>
            </w:r>
          </w:p>
        </w:tc>
        <w:tc>
          <w:tcPr>
            <w:tcW w:w="537"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eroga-</w:t>
            </w:r>
          </w:p>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zioni</w:t>
            </w:r>
          </w:p>
        </w:tc>
        <w:tc>
          <w:tcPr>
            <w:tcW w:w="539"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i/>
                <w:i/>
                <w:iCs/>
                <w:color w:val="000000"/>
                <w:sz w:val="11"/>
                <w:szCs w:val="11"/>
              </w:rPr>
            </w:pPr>
            <w:r>
              <w:rPr>
                <w:rFonts w:cs="Calibri" w:ascii="Calibri" w:hAnsi="Calibri" w:asciiTheme="minorHAnsi" w:cstheme="minorHAnsi" w:hAnsiTheme="minorHAnsi"/>
                <w:b/>
                <w:bCs/>
                <w:i/>
                <w:iCs/>
                <w:color w:val="000000"/>
                <w:sz w:val="11"/>
                <w:szCs w:val="11"/>
              </w:rPr>
              <w:t>di cui anziani</w:t>
            </w:r>
          </w:p>
        </w:tc>
        <w:tc>
          <w:tcPr>
            <w:tcW w:w="63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eroga-</w:t>
            </w:r>
          </w:p>
          <w:p>
            <w:pPr>
              <w:pStyle w:val="Normal"/>
              <w:widowControl w:val="false"/>
              <w:suppressAutoHyphens w:val="false"/>
              <w:jc w:val="center"/>
              <w:rPr>
                <w:rFonts w:ascii="Calibri" w:hAnsi="Calibri" w:cs="Calibri" w:asciiTheme="minorHAnsi" w:cstheme="minorHAnsi" w:hAnsiTheme="minorHAnsi"/>
                <w:b/>
                <w:b/>
                <w:bCs/>
                <w:color w:val="000000"/>
                <w:sz w:val="11"/>
                <w:szCs w:val="11"/>
              </w:rPr>
            </w:pPr>
            <w:r>
              <w:rPr>
                <w:rFonts w:cs="Calibri" w:ascii="Calibri" w:hAnsi="Calibri" w:asciiTheme="minorHAnsi" w:cstheme="minorHAnsi" w:hAnsiTheme="minorHAnsi"/>
                <w:b/>
                <w:bCs/>
                <w:color w:val="000000"/>
                <w:sz w:val="11"/>
                <w:szCs w:val="11"/>
              </w:rPr>
              <w:t>zioni</w:t>
            </w:r>
          </w:p>
        </w:tc>
        <w:tc>
          <w:tcPr>
            <w:tcW w:w="628"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jc w:val="center"/>
              <w:rPr>
                <w:rFonts w:ascii="Calibri" w:hAnsi="Calibri" w:cs="Calibri" w:asciiTheme="minorHAnsi" w:cstheme="minorHAnsi" w:hAnsiTheme="minorHAnsi"/>
                <w:b/>
                <w:b/>
                <w:bCs/>
                <w:i/>
                <w:i/>
                <w:iCs/>
                <w:color w:val="000000"/>
                <w:sz w:val="11"/>
                <w:szCs w:val="11"/>
              </w:rPr>
            </w:pPr>
            <w:r>
              <w:rPr>
                <w:rFonts w:cs="Calibri" w:ascii="Calibri" w:hAnsi="Calibri" w:asciiTheme="minorHAnsi" w:cstheme="minorHAnsi" w:hAnsiTheme="minorHAnsi"/>
                <w:b/>
                <w:bCs/>
                <w:i/>
                <w:iCs/>
                <w:color w:val="000000"/>
                <w:sz w:val="11"/>
                <w:szCs w:val="11"/>
              </w:rPr>
              <w:t xml:space="preserve">di cui </w:t>
            </w:r>
          </w:p>
          <w:p>
            <w:pPr>
              <w:pStyle w:val="Normal"/>
              <w:widowControl w:val="false"/>
              <w:suppressAutoHyphens w:val="false"/>
              <w:jc w:val="center"/>
              <w:rPr>
                <w:rFonts w:ascii="Calibri" w:hAnsi="Calibri" w:cs="Calibri" w:asciiTheme="minorHAnsi" w:cstheme="minorHAnsi" w:hAnsiTheme="minorHAnsi"/>
                <w:b/>
                <w:b/>
                <w:bCs/>
                <w:i/>
                <w:i/>
                <w:iCs/>
                <w:color w:val="000000"/>
                <w:sz w:val="11"/>
                <w:szCs w:val="11"/>
              </w:rPr>
            </w:pPr>
            <w:r>
              <w:rPr>
                <w:rFonts w:cs="Calibri" w:ascii="Calibri" w:hAnsi="Calibri" w:asciiTheme="minorHAnsi" w:cstheme="minorHAnsi" w:hAnsiTheme="minorHAnsi"/>
                <w:b/>
                <w:bCs/>
                <w:i/>
                <w:iCs/>
                <w:color w:val="000000"/>
                <w:sz w:val="11"/>
                <w:szCs w:val="11"/>
              </w:rPr>
              <w:t>anziani</w:t>
            </w:r>
          </w:p>
        </w:tc>
      </w:tr>
      <w:tr>
        <w:trPr>
          <w:trHeight w:val="340" w:hRule="atLeast"/>
        </w:trPr>
        <w:tc>
          <w:tcPr>
            <w:tcW w:w="98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Sds Firenze</w:t>
            </w:r>
          </w:p>
        </w:tc>
        <w:tc>
          <w:tcPr>
            <w:tcW w:w="53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7.738</w:t>
            </w:r>
          </w:p>
        </w:tc>
        <w:tc>
          <w:tcPr>
            <w:tcW w:w="53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4.596</w:t>
            </w:r>
          </w:p>
        </w:tc>
        <w:tc>
          <w:tcPr>
            <w:tcW w:w="47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6.780</w:t>
            </w:r>
          </w:p>
        </w:tc>
        <w:tc>
          <w:tcPr>
            <w:tcW w:w="47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6.317</w:t>
            </w:r>
          </w:p>
        </w:tc>
        <w:tc>
          <w:tcPr>
            <w:tcW w:w="53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45.389</w:t>
            </w:r>
          </w:p>
        </w:tc>
        <w:tc>
          <w:tcPr>
            <w:tcW w:w="53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38.634</w:t>
            </w:r>
          </w:p>
        </w:tc>
        <w:tc>
          <w:tcPr>
            <w:tcW w:w="47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1.384</w:t>
            </w:r>
          </w:p>
        </w:tc>
        <w:tc>
          <w:tcPr>
            <w:tcW w:w="47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1.218</w:t>
            </w:r>
          </w:p>
        </w:tc>
        <w:tc>
          <w:tcPr>
            <w:tcW w:w="43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18</w:t>
            </w:r>
          </w:p>
        </w:tc>
        <w:tc>
          <w:tcPr>
            <w:tcW w:w="50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18</w:t>
            </w:r>
          </w:p>
        </w:tc>
        <w:tc>
          <w:tcPr>
            <w:tcW w:w="47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14.525</w:t>
            </w:r>
          </w:p>
        </w:tc>
        <w:tc>
          <w:tcPr>
            <w:tcW w:w="47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12.054</w:t>
            </w:r>
          </w:p>
        </w:tc>
        <w:tc>
          <w:tcPr>
            <w:tcW w:w="43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3</w:t>
            </w:r>
          </w:p>
        </w:tc>
        <w:tc>
          <w:tcPr>
            <w:tcW w:w="51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3</w:t>
            </w:r>
          </w:p>
        </w:tc>
        <w:tc>
          <w:tcPr>
            <w:tcW w:w="53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82.348</w:t>
            </w:r>
          </w:p>
        </w:tc>
        <w:tc>
          <w:tcPr>
            <w:tcW w:w="53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82.124</w:t>
            </w:r>
          </w:p>
        </w:tc>
        <w:tc>
          <w:tcPr>
            <w:tcW w:w="632" w:type="dxa"/>
            <w:tcBorders>
              <w:top w:val="single" w:sz="4" w:space="0" w:color="000000"/>
              <w:left w:val="single" w:sz="4" w:space="0" w:color="000000"/>
              <w:bottom w:val="single" w:sz="4" w:space="0" w:color="000000"/>
              <w:right w:val="single" w:sz="4" w:space="0" w:color="000000"/>
            </w:tcBorders>
            <w:shd w:color="FFFFFF" w:fill="CCFF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158.185</w:t>
            </w:r>
          </w:p>
        </w:tc>
        <w:tc>
          <w:tcPr>
            <w:tcW w:w="628" w:type="dxa"/>
            <w:tcBorders>
              <w:top w:val="single" w:sz="4" w:space="0" w:color="000000"/>
              <w:left w:val="single" w:sz="4" w:space="0" w:color="000000"/>
              <w:bottom w:val="single" w:sz="4" w:space="0" w:color="000000"/>
              <w:right w:val="single" w:sz="4" w:space="0" w:color="000000"/>
            </w:tcBorders>
            <w:shd w:color="FFFFFF" w:fill="CCFF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144.964</w:t>
            </w:r>
          </w:p>
        </w:tc>
      </w:tr>
      <w:tr>
        <w:trPr>
          <w:trHeight w:val="340" w:hRule="atLeast"/>
        </w:trPr>
        <w:tc>
          <w:tcPr>
            <w:tcW w:w="98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Sds Val di Nievole</w:t>
            </w:r>
          </w:p>
        </w:tc>
        <w:tc>
          <w:tcPr>
            <w:tcW w:w="53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3.054</w:t>
            </w:r>
          </w:p>
        </w:tc>
        <w:tc>
          <w:tcPr>
            <w:tcW w:w="53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2.385</w:t>
            </w:r>
          </w:p>
        </w:tc>
        <w:tc>
          <w:tcPr>
            <w:tcW w:w="47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12.338</w:t>
            </w:r>
          </w:p>
        </w:tc>
        <w:tc>
          <w:tcPr>
            <w:tcW w:w="47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11.554</w:t>
            </w:r>
          </w:p>
        </w:tc>
        <w:tc>
          <w:tcPr>
            <w:tcW w:w="53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47.130</w:t>
            </w:r>
          </w:p>
        </w:tc>
        <w:tc>
          <w:tcPr>
            <w:tcW w:w="53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40.889</w:t>
            </w:r>
          </w:p>
        </w:tc>
        <w:tc>
          <w:tcPr>
            <w:tcW w:w="47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4.111</w:t>
            </w:r>
          </w:p>
        </w:tc>
        <w:tc>
          <w:tcPr>
            <w:tcW w:w="47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3.755</w:t>
            </w:r>
          </w:p>
        </w:tc>
        <w:tc>
          <w:tcPr>
            <w:tcW w:w="43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cstheme="minorHAnsi" w:ascii="Calibri" w:hAnsi="Calibri"/>
                <w:color w:val="000000"/>
                <w:sz w:val="12"/>
                <w:szCs w:val="12"/>
              </w:rPr>
            </w:r>
          </w:p>
        </w:tc>
        <w:tc>
          <w:tcPr>
            <w:tcW w:w="50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cstheme="minorHAnsi" w:ascii="Calibri" w:hAnsi="Calibri"/>
                <w:i/>
                <w:iCs/>
                <w:color w:val="000000"/>
                <w:sz w:val="12"/>
                <w:szCs w:val="12"/>
              </w:rPr>
            </w:r>
          </w:p>
        </w:tc>
        <w:tc>
          <w:tcPr>
            <w:tcW w:w="47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8.161</w:t>
            </w:r>
          </w:p>
        </w:tc>
        <w:tc>
          <w:tcPr>
            <w:tcW w:w="47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6.047</w:t>
            </w:r>
          </w:p>
        </w:tc>
        <w:tc>
          <w:tcPr>
            <w:tcW w:w="43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cstheme="minorHAnsi" w:ascii="Calibri" w:hAnsi="Calibri"/>
                <w:color w:val="000000"/>
                <w:sz w:val="12"/>
                <w:szCs w:val="12"/>
              </w:rPr>
            </w:r>
          </w:p>
        </w:tc>
        <w:tc>
          <w:tcPr>
            <w:tcW w:w="51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cstheme="minorHAnsi" w:ascii="Calibri" w:hAnsi="Calibri"/>
                <w:i/>
                <w:iCs/>
                <w:color w:val="000000"/>
                <w:sz w:val="12"/>
                <w:szCs w:val="12"/>
              </w:rPr>
            </w:r>
          </w:p>
        </w:tc>
        <w:tc>
          <w:tcPr>
            <w:tcW w:w="53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12.641</w:t>
            </w:r>
          </w:p>
        </w:tc>
        <w:tc>
          <w:tcPr>
            <w:tcW w:w="53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12.641</w:t>
            </w:r>
          </w:p>
        </w:tc>
        <w:tc>
          <w:tcPr>
            <w:tcW w:w="632" w:type="dxa"/>
            <w:tcBorders>
              <w:top w:val="single" w:sz="4" w:space="0" w:color="000000"/>
              <w:left w:val="single" w:sz="4" w:space="0" w:color="000000"/>
              <w:bottom w:val="single" w:sz="4" w:space="0" w:color="000000"/>
              <w:right w:val="single" w:sz="4" w:space="0" w:color="000000"/>
            </w:tcBorders>
            <w:shd w:color="FFFFFF" w:fill="CCFF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87.435</w:t>
            </w:r>
          </w:p>
        </w:tc>
        <w:tc>
          <w:tcPr>
            <w:tcW w:w="628" w:type="dxa"/>
            <w:tcBorders>
              <w:top w:val="single" w:sz="4" w:space="0" w:color="000000"/>
              <w:left w:val="single" w:sz="4" w:space="0" w:color="000000"/>
              <w:bottom w:val="single" w:sz="4" w:space="0" w:color="000000"/>
              <w:right w:val="single" w:sz="4" w:space="0" w:color="000000"/>
            </w:tcBorders>
            <w:shd w:color="FFFFFF" w:fill="CCFF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77.271</w:t>
            </w:r>
          </w:p>
        </w:tc>
      </w:tr>
      <w:tr>
        <w:trPr>
          <w:trHeight w:val="340" w:hRule="atLeast"/>
        </w:trPr>
        <w:tc>
          <w:tcPr>
            <w:tcW w:w="98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Sds Pratese</w:t>
            </w:r>
          </w:p>
        </w:tc>
        <w:tc>
          <w:tcPr>
            <w:tcW w:w="53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1.135</w:t>
            </w:r>
          </w:p>
        </w:tc>
        <w:tc>
          <w:tcPr>
            <w:tcW w:w="53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951</w:t>
            </w:r>
          </w:p>
        </w:tc>
        <w:tc>
          <w:tcPr>
            <w:tcW w:w="47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11.707</w:t>
            </w:r>
          </w:p>
        </w:tc>
        <w:tc>
          <w:tcPr>
            <w:tcW w:w="47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10.684</w:t>
            </w:r>
          </w:p>
        </w:tc>
        <w:tc>
          <w:tcPr>
            <w:tcW w:w="53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65.216</w:t>
            </w:r>
          </w:p>
        </w:tc>
        <w:tc>
          <w:tcPr>
            <w:tcW w:w="53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56.172</w:t>
            </w:r>
          </w:p>
        </w:tc>
        <w:tc>
          <w:tcPr>
            <w:tcW w:w="47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5.600</w:t>
            </w:r>
          </w:p>
        </w:tc>
        <w:tc>
          <w:tcPr>
            <w:tcW w:w="47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5.310</w:t>
            </w:r>
          </w:p>
        </w:tc>
        <w:tc>
          <w:tcPr>
            <w:tcW w:w="43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98</w:t>
            </w:r>
          </w:p>
        </w:tc>
        <w:tc>
          <w:tcPr>
            <w:tcW w:w="50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98</w:t>
            </w:r>
          </w:p>
        </w:tc>
        <w:tc>
          <w:tcPr>
            <w:tcW w:w="47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13.759</w:t>
            </w:r>
          </w:p>
        </w:tc>
        <w:tc>
          <w:tcPr>
            <w:tcW w:w="47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12.047</w:t>
            </w:r>
          </w:p>
        </w:tc>
        <w:tc>
          <w:tcPr>
            <w:tcW w:w="43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cstheme="minorHAnsi" w:ascii="Calibri" w:hAnsi="Calibri"/>
                <w:color w:val="000000"/>
                <w:sz w:val="12"/>
                <w:szCs w:val="12"/>
              </w:rPr>
            </w:r>
          </w:p>
        </w:tc>
        <w:tc>
          <w:tcPr>
            <w:tcW w:w="51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cstheme="minorHAnsi" w:ascii="Calibri" w:hAnsi="Calibri"/>
                <w:i/>
                <w:iCs/>
                <w:color w:val="000000"/>
                <w:sz w:val="12"/>
                <w:szCs w:val="12"/>
              </w:rPr>
            </w:r>
          </w:p>
        </w:tc>
        <w:tc>
          <w:tcPr>
            <w:tcW w:w="53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37.398</w:t>
            </w:r>
          </w:p>
        </w:tc>
        <w:tc>
          <w:tcPr>
            <w:tcW w:w="53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35.229</w:t>
            </w:r>
          </w:p>
        </w:tc>
        <w:tc>
          <w:tcPr>
            <w:tcW w:w="632" w:type="dxa"/>
            <w:tcBorders>
              <w:top w:val="single" w:sz="4" w:space="0" w:color="000000"/>
              <w:left w:val="single" w:sz="4" w:space="0" w:color="000000"/>
              <w:bottom w:val="single" w:sz="4" w:space="0" w:color="000000"/>
              <w:right w:val="single" w:sz="4" w:space="0" w:color="000000"/>
            </w:tcBorders>
            <w:shd w:color="FFFFFF" w:fill="CCFF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134.913</w:t>
            </w:r>
          </w:p>
        </w:tc>
        <w:tc>
          <w:tcPr>
            <w:tcW w:w="628" w:type="dxa"/>
            <w:tcBorders>
              <w:top w:val="single" w:sz="4" w:space="0" w:color="000000"/>
              <w:left w:val="single" w:sz="4" w:space="0" w:color="000000"/>
              <w:bottom w:val="single" w:sz="4" w:space="0" w:color="000000"/>
              <w:right w:val="single" w:sz="4" w:space="0" w:color="000000"/>
            </w:tcBorders>
            <w:shd w:color="FFFFFF" w:fill="CCFF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120.491</w:t>
            </w:r>
          </w:p>
        </w:tc>
      </w:tr>
      <w:tr>
        <w:trPr>
          <w:trHeight w:val="340" w:hRule="atLeast"/>
        </w:trPr>
        <w:tc>
          <w:tcPr>
            <w:tcW w:w="98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Sds Pistoiese</w:t>
            </w:r>
          </w:p>
        </w:tc>
        <w:tc>
          <w:tcPr>
            <w:tcW w:w="53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353</w:t>
            </w:r>
          </w:p>
        </w:tc>
        <w:tc>
          <w:tcPr>
            <w:tcW w:w="53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353</w:t>
            </w:r>
          </w:p>
        </w:tc>
        <w:tc>
          <w:tcPr>
            <w:tcW w:w="47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5.719</w:t>
            </w:r>
          </w:p>
        </w:tc>
        <w:tc>
          <w:tcPr>
            <w:tcW w:w="47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5.498</w:t>
            </w:r>
          </w:p>
        </w:tc>
        <w:tc>
          <w:tcPr>
            <w:tcW w:w="53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57.844</w:t>
            </w:r>
          </w:p>
        </w:tc>
        <w:tc>
          <w:tcPr>
            <w:tcW w:w="53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50.330</w:t>
            </w:r>
          </w:p>
        </w:tc>
        <w:tc>
          <w:tcPr>
            <w:tcW w:w="47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5.558</w:t>
            </w:r>
          </w:p>
        </w:tc>
        <w:tc>
          <w:tcPr>
            <w:tcW w:w="47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5.073</w:t>
            </w:r>
          </w:p>
        </w:tc>
        <w:tc>
          <w:tcPr>
            <w:tcW w:w="43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42</w:t>
            </w:r>
          </w:p>
        </w:tc>
        <w:tc>
          <w:tcPr>
            <w:tcW w:w="50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39</w:t>
            </w:r>
          </w:p>
        </w:tc>
        <w:tc>
          <w:tcPr>
            <w:tcW w:w="47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3.680</w:t>
            </w:r>
          </w:p>
        </w:tc>
        <w:tc>
          <w:tcPr>
            <w:tcW w:w="47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2.929</w:t>
            </w:r>
          </w:p>
        </w:tc>
        <w:tc>
          <w:tcPr>
            <w:tcW w:w="43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cstheme="minorHAnsi" w:ascii="Calibri" w:hAnsi="Calibri"/>
                <w:color w:val="000000"/>
                <w:sz w:val="12"/>
                <w:szCs w:val="12"/>
              </w:rPr>
            </w:r>
          </w:p>
        </w:tc>
        <w:tc>
          <w:tcPr>
            <w:tcW w:w="51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cstheme="minorHAnsi" w:ascii="Calibri" w:hAnsi="Calibri"/>
                <w:i/>
                <w:iCs/>
                <w:color w:val="000000"/>
                <w:sz w:val="12"/>
                <w:szCs w:val="12"/>
              </w:rPr>
            </w:r>
          </w:p>
        </w:tc>
        <w:tc>
          <w:tcPr>
            <w:tcW w:w="53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14.325</w:t>
            </w:r>
          </w:p>
        </w:tc>
        <w:tc>
          <w:tcPr>
            <w:tcW w:w="53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12.817</w:t>
            </w:r>
          </w:p>
        </w:tc>
        <w:tc>
          <w:tcPr>
            <w:tcW w:w="632" w:type="dxa"/>
            <w:tcBorders>
              <w:top w:val="single" w:sz="4" w:space="0" w:color="000000"/>
              <w:left w:val="single" w:sz="4" w:space="0" w:color="000000"/>
              <w:bottom w:val="single" w:sz="4" w:space="0" w:color="000000"/>
              <w:right w:val="single" w:sz="4" w:space="0" w:color="000000"/>
            </w:tcBorders>
            <w:shd w:color="FFFFFF" w:fill="CCFF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87.521</w:t>
            </w:r>
          </w:p>
        </w:tc>
        <w:tc>
          <w:tcPr>
            <w:tcW w:w="628" w:type="dxa"/>
            <w:tcBorders>
              <w:top w:val="single" w:sz="4" w:space="0" w:color="000000"/>
              <w:left w:val="single" w:sz="4" w:space="0" w:color="000000"/>
              <w:bottom w:val="single" w:sz="4" w:space="0" w:color="000000"/>
              <w:right w:val="single" w:sz="4" w:space="0" w:color="000000"/>
            </w:tcBorders>
            <w:shd w:color="FFFFFF" w:fill="CCFF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77.039</w:t>
            </w:r>
          </w:p>
        </w:tc>
      </w:tr>
      <w:tr>
        <w:trPr>
          <w:trHeight w:val="340" w:hRule="atLeast"/>
        </w:trPr>
        <w:tc>
          <w:tcPr>
            <w:tcW w:w="98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Sds F.na Nord-Ovest</w:t>
            </w:r>
          </w:p>
        </w:tc>
        <w:tc>
          <w:tcPr>
            <w:tcW w:w="53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1.490</w:t>
            </w:r>
          </w:p>
        </w:tc>
        <w:tc>
          <w:tcPr>
            <w:tcW w:w="53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1.156</w:t>
            </w:r>
          </w:p>
        </w:tc>
        <w:tc>
          <w:tcPr>
            <w:tcW w:w="47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4.074</w:t>
            </w:r>
          </w:p>
        </w:tc>
        <w:tc>
          <w:tcPr>
            <w:tcW w:w="47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3.937</w:t>
            </w:r>
          </w:p>
        </w:tc>
        <w:tc>
          <w:tcPr>
            <w:tcW w:w="53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49.490</w:t>
            </w:r>
          </w:p>
        </w:tc>
        <w:tc>
          <w:tcPr>
            <w:tcW w:w="53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44.604</w:t>
            </w:r>
          </w:p>
        </w:tc>
        <w:tc>
          <w:tcPr>
            <w:tcW w:w="47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489</w:t>
            </w:r>
          </w:p>
        </w:tc>
        <w:tc>
          <w:tcPr>
            <w:tcW w:w="47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464</w:t>
            </w:r>
          </w:p>
        </w:tc>
        <w:tc>
          <w:tcPr>
            <w:tcW w:w="43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cstheme="minorHAnsi" w:ascii="Calibri" w:hAnsi="Calibri"/>
                <w:color w:val="000000"/>
                <w:sz w:val="12"/>
                <w:szCs w:val="12"/>
              </w:rPr>
            </w:r>
          </w:p>
        </w:tc>
        <w:tc>
          <w:tcPr>
            <w:tcW w:w="50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cstheme="minorHAnsi" w:ascii="Calibri" w:hAnsi="Calibri"/>
                <w:i/>
                <w:iCs/>
                <w:color w:val="000000"/>
                <w:sz w:val="12"/>
                <w:szCs w:val="12"/>
              </w:rPr>
            </w:r>
          </w:p>
        </w:tc>
        <w:tc>
          <w:tcPr>
            <w:tcW w:w="47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3.060</w:t>
            </w:r>
          </w:p>
        </w:tc>
        <w:tc>
          <w:tcPr>
            <w:tcW w:w="47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2.529</w:t>
            </w:r>
          </w:p>
        </w:tc>
        <w:tc>
          <w:tcPr>
            <w:tcW w:w="43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2</w:t>
            </w:r>
          </w:p>
        </w:tc>
        <w:tc>
          <w:tcPr>
            <w:tcW w:w="51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cstheme="minorHAnsi" w:ascii="Calibri" w:hAnsi="Calibri"/>
                <w:i/>
                <w:iCs/>
                <w:color w:val="000000"/>
                <w:sz w:val="12"/>
                <w:szCs w:val="12"/>
              </w:rPr>
            </w:r>
          </w:p>
        </w:tc>
        <w:tc>
          <w:tcPr>
            <w:tcW w:w="53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20.534</w:t>
            </w:r>
          </w:p>
        </w:tc>
        <w:tc>
          <w:tcPr>
            <w:tcW w:w="53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18.868</w:t>
            </w:r>
          </w:p>
        </w:tc>
        <w:tc>
          <w:tcPr>
            <w:tcW w:w="632" w:type="dxa"/>
            <w:tcBorders>
              <w:top w:val="single" w:sz="4" w:space="0" w:color="000000"/>
              <w:left w:val="single" w:sz="4" w:space="0" w:color="000000"/>
              <w:bottom w:val="single" w:sz="4" w:space="0" w:color="000000"/>
              <w:right w:val="single" w:sz="4" w:space="0" w:color="000000"/>
            </w:tcBorders>
            <w:shd w:color="FFFFFF" w:fill="CCFF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79.139</w:t>
            </w:r>
          </w:p>
        </w:tc>
        <w:tc>
          <w:tcPr>
            <w:tcW w:w="628" w:type="dxa"/>
            <w:tcBorders>
              <w:top w:val="single" w:sz="4" w:space="0" w:color="000000"/>
              <w:left w:val="single" w:sz="4" w:space="0" w:color="000000"/>
              <w:bottom w:val="single" w:sz="4" w:space="0" w:color="000000"/>
              <w:right w:val="single" w:sz="4" w:space="0" w:color="000000"/>
            </w:tcBorders>
            <w:shd w:color="FFFFFF" w:fill="CCFF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71.558</w:t>
            </w:r>
          </w:p>
        </w:tc>
      </w:tr>
      <w:tr>
        <w:trPr>
          <w:trHeight w:val="340" w:hRule="atLeast"/>
        </w:trPr>
        <w:tc>
          <w:tcPr>
            <w:tcW w:w="98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Sds F.na Sud-Est</w:t>
            </w:r>
          </w:p>
        </w:tc>
        <w:tc>
          <w:tcPr>
            <w:tcW w:w="53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803</w:t>
            </w:r>
          </w:p>
        </w:tc>
        <w:tc>
          <w:tcPr>
            <w:tcW w:w="53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485</w:t>
            </w:r>
          </w:p>
        </w:tc>
        <w:tc>
          <w:tcPr>
            <w:tcW w:w="47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2.410</w:t>
            </w:r>
          </w:p>
        </w:tc>
        <w:tc>
          <w:tcPr>
            <w:tcW w:w="47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2.348</w:t>
            </w:r>
          </w:p>
        </w:tc>
        <w:tc>
          <w:tcPr>
            <w:tcW w:w="53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31.398</w:t>
            </w:r>
          </w:p>
        </w:tc>
        <w:tc>
          <w:tcPr>
            <w:tcW w:w="53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27.828</w:t>
            </w:r>
          </w:p>
        </w:tc>
        <w:tc>
          <w:tcPr>
            <w:tcW w:w="47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565</w:t>
            </w:r>
          </w:p>
        </w:tc>
        <w:tc>
          <w:tcPr>
            <w:tcW w:w="47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549</w:t>
            </w:r>
          </w:p>
        </w:tc>
        <w:tc>
          <w:tcPr>
            <w:tcW w:w="43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7</w:t>
            </w:r>
          </w:p>
        </w:tc>
        <w:tc>
          <w:tcPr>
            <w:tcW w:w="50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cstheme="minorHAnsi" w:ascii="Calibri" w:hAnsi="Calibri"/>
                <w:i/>
                <w:iCs/>
                <w:color w:val="000000"/>
                <w:sz w:val="12"/>
                <w:szCs w:val="12"/>
              </w:rPr>
            </w:r>
          </w:p>
        </w:tc>
        <w:tc>
          <w:tcPr>
            <w:tcW w:w="47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2.797</w:t>
            </w:r>
          </w:p>
        </w:tc>
        <w:tc>
          <w:tcPr>
            <w:tcW w:w="47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2.467</w:t>
            </w:r>
          </w:p>
        </w:tc>
        <w:tc>
          <w:tcPr>
            <w:tcW w:w="43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22</w:t>
            </w:r>
          </w:p>
        </w:tc>
        <w:tc>
          <w:tcPr>
            <w:tcW w:w="51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cstheme="minorHAnsi" w:ascii="Calibri" w:hAnsi="Calibri"/>
                <w:i/>
                <w:iCs/>
                <w:color w:val="000000"/>
                <w:sz w:val="12"/>
                <w:szCs w:val="12"/>
              </w:rPr>
            </w:r>
          </w:p>
        </w:tc>
        <w:tc>
          <w:tcPr>
            <w:tcW w:w="53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24.792</w:t>
            </w:r>
          </w:p>
        </w:tc>
        <w:tc>
          <w:tcPr>
            <w:tcW w:w="53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22.572</w:t>
            </w:r>
          </w:p>
        </w:tc>
        <w:tc>
          <w:tcPr>
            <w:tcW w:w="632" w:type="dxa"/>
            <w:tcBorders>
              <w:top w:val="single" w:sz="4" w:space="0" w:color="000000"/>
              <w:left w:val="single" w:sz="4" w:space="0" w:color="000000"/>
              <w:bottom w:val="single" w:sz="4" w:space="0" w:color="000000"/>
              <w:right w:val="single" w:sz="4" w:space="0" w:color="000000"/>
            </w:tcBorders>
            <w:shd w:color="FFFFFF" w:fill="CCFF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62.794</w:t>
            </w:r>
          </w:p>
        </w:tc>
        <w:tc>
          <w:tcPr>
            <w:tcW w:w="628" w:type="dxa"/>
            <w:tcBorders>
              <w:top w:val="single" w:sz="4" w:space="0" w:color="000000"/>
              <w:left w:val="single" w:sz="4" w:space="0" w:color="000000"/>
              <w:bottom w:val="single" w:sz="4" w:space="0" w:color="000000"/>
              <w:right w:val="single" w:sz="4" w:space="0" w:color="000000"/>
            </w:tcBorders>
            <w:shd w:color="FFFFFF" w:fill="CCFF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56.249</w:t>
            </w:r>
          </w:p>
        </w:tc>
      </w:tr>
      <w:tr>
        <w:trPr>
          <w:trHeight w:val="340" w:hRule="atLeast"/>
        </w:trPr>
        <w:tc>
          <w:tcPr>
            <w:tcW w:w="98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Sds Mugello</w:t>
            </w:r>
          </w:p>
        </w:tc>
        <w:tc>
          <w:tcPr>
            <w:tcW w:w="53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1.832</w:t>
            </w:r>
          </w:p>
        </w:tc>
        <w:tc>
          <w:tcPr>
            <w:tcW w:w="53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1.075</w:t>
            </w:r>
          </w:p>
        </w:tc>
        <w:tc>
          <w:tcPr>
            <w:tcW w:w="47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1.520</w:t>
            </w:r>
          </w:p>
        </w:tc>
        <w:tc>
          <w:tcPr>
            <w:tcW w:w="47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1.456</w:t>
            </w:r>
          </w:p>
        </w:tc>
        <w:tc>
          <w:tcPr>
            <w:tcW w:w="53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23.238</w:t>
            </w:r>
          </w:p>
        </w:tc>
        <w:tc>
          <w:tcPr>
            <w:tcW w:w="53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20.646</w:t>
            </w:r>
          </w:p>
        </w:tc>
        <w:tc>
          <w:tcPr>
            <w:tcW w:w="47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477</w:t>
            </w:r>
          </w:p>
        </w:tc>
        <w:tc>
          <w:tcPr>
            <w:tcW w:w="47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243</w:t>
            </w:r>
          </w:p>
        </w:tc>
        <w:tc>
          <w:tcPr>
            <w:tcW w:w="43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64</w:t>
            </w:r>
          </w:p>
        </w:tc>
        <w:tc>
          <w:tcPr>
            <w:tcW w:w="50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64</w:t>
            </w:r>
          </w:p>
        </w:tc>
        <w:tc>
          <w:tcPr>
            <w:tcW w:w="47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4.539</w:t>
            </w:r>
          </w:p>
        </w:tc>
        <w:tc>
          <w:tcPr>
            <w:tcW w:w="47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3.621</w:t>
            </w:r>
          </w:p>
        </w:tc>
        <w:tc>
          <w:tcPr>
            <w:tcW w:w="43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cstheme="minorHAnsi" w:ascii="Calibri" w:hAnsi="Calibri"/>
                <w:color w:val="000000"/>
                <w:sz w:val="12"/>
                <w:szCs w:val="12"/>
              </w:rPr>
            </w:r>
          </w:p>
        </w:tc>
        <w:tc>
          <w:tcPr>
            <w:tcW w:w="51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cstheme="minorHAnsi" w:ascii="Calibri" w:hAnsi="Calibri"/>
                <w:i/>
                <w:iCs/>
                <w:color w:val="000000"/>
                <w:sz w:val="12"/>
                <w:szCs w:val="12"/>
              </w:rPr>
            </w:r>
          </w:p>
        </w:tc>
        <w:tc>
          <w:tcPr>
            <w:tcW w:w="53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20.780</w:t>
            </w:r>
          </w:p>
        </w:tc>
        <w:tc>
          <w:tcPr>
            <w:tcW w:w="53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i/>
                <w:iCs/>
                <w:color w:val="000000"/>
                <w:sz w:val="12"/>
                <w:szCs w:val="12"/>
              </w:rPr>
              <w:t>19.183</w:t>
            </w:r>
          </w:p>
        </w:tc>
        <w:tc>
          <w:tcPr>
            <w:tcW w:w="632" w:type="dxa"/>
            <w:tcBorders>
              <w:top w:val="single" w:sz="4" w:space="0" w:color="000000"/>
              <w:left w:val="single" w:sz="4" w:space="0" w:color="000000"/>
              <w:bottom w:val="single" w:sz="4" w:space="0" w:color="000000"/>
              <w:right w:val="single" w:sz="4" w:space="0" w:color="000000"/>
            </w:tcBorders>
            <w:shd w:color="FFFFFF" w:fill="CCFF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52.450</w:t>
            </w:r>
          </w:p>
        </w:tc>
        <w:tc>
          <w:tcPr>
            <w:tcW w:w="628" w:type="dxa"/>
            <w:tcBorders>
              <w:top w:val="single" w:sz="4" w:space="0" w:color="000000"/>
              <w:left w:val="single" w:sz="4" w:space="0" w:color="000000"/>
              <w:bottom w:val="single" w:sz="4" w:space="0" w:color="000000"/>
              <w:right w:val="single" w:sz="4" w:space="0" w:color="000000"/>
            </w:tcBorders>
            <w:shd w:color="FFFFFF" w:fill="CCFF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46.288</w:t>
            </w:r>
          </w:p>
        </w:tc>
      </w:tr>
      <w:tr>
        <w:trPr>
          <w:trHeight w:val="340" w:hRule="atLeast"/>
        </w:trPr>
        <w:tc>
          <w:tcPr>
            <w:tcW w:w="98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Sds Empolese</w:t>
            </w:r>
          </w:p>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Valdarno</w:t>
            </w:r>
          </w:p>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Valdelsa</w:t>
            </w:r>
          </w:p>
        </w:tc>
        <w:tc>
          <w:tcPr>
            <w:tcW w:w="53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415</w:t>
            </w:r>
          </w:p>
        </w:tc>
        <w:tc>
          <w:tcPr>
            <w:tcW w:w="53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color w:val="000000"/>
                <w:sz w:val="12"/>
                <w:szCs w:val="12"/>
              </w:rPr>
              <w:t>208</w:t>
            </w:r>
          </w:p>
        </w:tc>
        <w:tc>
          <w:tcPr>
            <w:tcW w:w="47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149</w:t>
            </w:r>
          </w:p>
        </w:tc>
        <w:tc>
          <w:tcPr>
            <w:tcW w:w="47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color w:val="000000"/>
                <w:sz w:val="12"/>
                <w:szCs w:val="12"/>
              </w:rPr>
              <w:t>149</w:t>
            </w:r>
          </w:p>
        </w:tc>
        <w:tc>
          <w:tcPr>
            <w:tcW w:w="53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40.866</w:t>
            </w:r>
          </w:p>
        </w:tc>
        <w:tc>
          <w:tcPr>
            <w:tcW w:w="53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color w:val="000000"/>
                <w:sz w:val="12"/>
                <w:szCs w:val="12"/>
              </w:rPr>
              <w:t>34.462</w:t>
            </w:r>
          </w:p>
        </w:tc>
        <w:tc>
          <w:tcPr>
            <w:tcW w:w="47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3.070</w:t>
            </w:r>
          </w:p>
        </w:tc>
        <w:tc>
          <w:tcPr>
            <w:tcW w:w="47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color w:val="000000"/>
                <w:sz w:val="12"/>
                <w:szCs w:val="12"/>
              </w:rPr>
              <w:t>2.353</w:t>
            </w:r>
          </w:p>
        </w:tc>
        <w:tc>
          <w:tcPr>
            <w:tcW w:w="43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7</w:t>
            </w:r>
          </w:p>
        </w:tc>
        <w:tc>
          <w:tcPr>
            <w:tcW w:w="50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color w:val="000000"/>
                <w:sz w:val="12"/>
                <w:szCs w:val="12"/>
              </w:rPr>
              <w:t>7</w:t>
            </w:r>
          </w:p>
        </w:tc>
        <w:tc>
          <w:tcPr>
            <w:tcW w:w="47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7.656</w:t>
            </w:r>
          </w:p>
        </w:tc>
        <w:tc>
          <w:tcPr>
            <w:tcW w:w="47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color w:val="000000"/>
                <w:sz w:val="12"/>
                <w:szCs w:val="12"/>
              </w:rPr>
              <w:t>5.885</w:t>
            </w:r>
          </w:p>
        </w:tc>
        <w:tc>
          <w:tcPr>
            <w:tcW w:w="43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3</w:t>
            </w:r>
          </w:p>
        </w:tc>
        <w:tc>
          <w:tcPr>
            <w:tcW w:w="514"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color w:val="000000"/>
                <w:sz w:val="12"/>
                <w:szCs w:val="12"/>
              </w:rPr>
              <w:t>3</w:t>
            </w:r>
          </w:p>
        </w:tc>
        <w:tc>
          <w:tcPr>
            <w:tcW w:w="537"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color w:val="000000"/>
                <w:sz w:val="12"/>
                <w:szCs w:val="12"/>
              </w:rPr>
            </w:pPr>
            <w:r>
              <w:rPr>
                <w:rFonts w:cs="Calibri" w:ascii="Calibri" w:hAnsi="Calibri" w:asciiTheme="minorHAnsi" w:cstheme="minorHAnsi" w:hAnsiTheme="minorHAnsi"/>
                <w:color w:val="000000"/>
                <w:sz w:val="12"/>
                <w:szCs w:val="12"/>
              </w:rPr>
              <w:t>44.286</w:t>
            </w:r>
          </w:p>
        </w:tc>
        <w:tc>
          <w:tcPr>
            <w:tcW w:w="539"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jc w:val="center"/>
              <w:rPr>
                <w:rFonts w:ascii="Calibri" w:hAnsi="Calibri" w:cs="Calibri" w:asciiTheme="minorHAnsi" w:cstheme="minorHAnsi" w:hAnsiTheme="minorHAnsi"/>
                <w:i/>
                <w:i/>
                <w:iCs/>
                <w:color w:val="000000"/>
                <w:sz w:val="12"/>
                <w:szCs w:val="12"/>
              </w:rPr>
            </w:pPr>
            <w:r>
              <w:rPr>
                <w:rFonts w:cs="Calibri" w:ascii="Calibri" w:hAnsi="Calibri" w:asciiTheme="minorHAnsi" w:cstheme="minorHAnsi" w:hAnsiTheme="minorHAnsi"/>
                <w:color w:val="000000"/>
                <w:sz w:val="12"/>
                <w:szCs w:val="12"/>
              </w:rPr>
              <w:t>40.934</w:t>
            </w:r>
          </w:p>
        </w:tc>
        <w:tc>
          <w:tcPr>
            <w:tcW w:w="632" w:type="dxa"/>
            <w:tcBorders>
              <w:top w:val="single" w:sz="4" w:space="0" w:color="000000"/>
              <w:left w:val="single" w:sz="4" w:space="0" w:color="000000"/>
              <w:bottom w:val="single" w:sz="4" w:space="0" w:color="000000"/>
              <w:right w:val="single" w:sz="4" w:space="0" w:color="000000"/>
            </w:tcBorders>
            <w:shd w:color="FFFFFF" w:fill="CCFF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96.452</w:t>
            </w:r>
          </w:p>
        </w:tc>
        <w:tc>
          <w:tcPr>
            <w:tcW w:w="628" w:type="dxa"/>
            <w:tcBorders>
              <w:top w:val="single" w:sz="4" w:space="0" w:color="000000"/>
              <w:left w:val="single" w:sz="4" w:space="0" w:color="000000"/>
              <w:bottom w:val="single" w:sz="4" w:space="0" w:color="000000"/>
              <w:right w:val="single" w:sz="4" w:space="0" w:color="000000"/>
            </w:tcBorders>
            <w:shd w:color="FFFFFF" w:fill="CCFF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84.001</w:t>
            </w:r>
          </w:p>
        </w:tc>
      </w:tr>
      <w:tr>
        <w:trPr>
          <w:trHeight w:val="340" w:hRule="atLeast"/>
        </w:trPr>
        <w:tc>
          <w:tcPr>
            <w:tcW w:w="989"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 xml:space="preserve">Totale AUSL </w:t>
            </w:r>
          </w:p>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Toscana Centro</w:t>
            </w:r>
          </w:p>
        </w:tc>
        <w:tc>
          <w:tcPr>
            <w:tcW w:w="534"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16.820</w:t>
            </w:r>
          </w:p>
        </w:tc>
        <w:tc>
          <w:tcPr>
            <w:tcW w:w="536"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11.209</w:t>
            </w:r>
          </w:p>
        </w:tc>
        <w:tc>
          <w:tcPr>
            <w:tcW w:w="477"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44.697</w:t>
            </w:r>
          </w:p>
        </w:tc>
        <w:tc>
          <w:tcPr>
            <w:tcW w:w="479"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41.943</w:t>
            </w:r>
          </w:p>
        </w:tc>
        <w:tc>
          <w:tcPr>
            <w:tcW w:w="535"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360.571</w:t>
            </w:r>
          </w:p>
        </w:tc>
        <w:tc>
          <w:tcPr>
            <w:tcW w:w="539"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313.565</w:t>
            </w:r>
          </w:p>
        </w:tc>
        <w:tc>
          <w:tcPr>
            <w:tcW w:w="475"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21.254</w:t>
            </w:r>
          </w:p>
        </w:tc>
        <w:tc>
          <w:tcPr>
            <w:tcW w:w="479"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18.965</w:t>
            </w:r>
          </w:p>
        </w:tc>
        <w:tc>
          <w:tcPr>
            <w:tcW w:w="434"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236</w:t>
            </w:r>
          </w:p>
        </w:tc>
        <w:tc>
          <w:tcPr>
            <w:tcW w:w="505"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226</w:t>
            </w:r>
          </w:p>
        </w:tc>
        <w:tc>
          <w:tcPr>
            <w:tcW w:w="475"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58.177</w:t>
            </w:r>
          </w:p>
        </w:tc>
        <w:tc>
          <w:tcPr>
            <w:tcW w:w="477"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47.579</w:t>
            </w:r>
          </w:p>
        </w:tc>
        <w:tc>
          <w:tcPr>
            <w:tcW w:w="436"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30</w:t>
            </w:r>
          </w:p>
        </w:tc>
        <w:tc>
          <w:tcPr>
            <w:tcW w:w="514"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6</w:t>
            </w:r>
          </w:p>
        </w:tc>
        <w:tc>
          <w:tcPr>
            <w:tcW w:w="537"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257.104</w:t>
            </w:r>
          </w:p>
        </w:tc>
        <w:tc>
          <w:tcPr>
            <w:tcW w:w="539"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244.368</w:t>
            </w:r>
          </w:p>
        </w:tc>
        <w:tc>
          <w:tcPr>
            <w:tcW w:w="632"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758.889</w:t>
            </w:r>
          </w:p>
        </w:tc>
        <w:tc>
          <w:tcPr>
            <w:tcW w:w="628" w:type="dxa"/>
            <w:tcBorders>
              <w:top w:val="single" w:sz="4" w:space="0" w:color="000000"/>
              <w:left w:val="single" w:sz="4" w:space="0" w:color="000000"/>
              <w:bottom w:val="single" w:sz="4" w:space="0" w:color="000000"/>
              <w:right w:val="single" w:sz="4" w:space="0" w:color="000000"/>
            </w:tcBorders>
            <w:shd w:color="FFFFFF" w:fill="99CCFF"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677.861</w:t>
            </w:r>
          </w:p>
        </w:tc>
      </w:tr>
      <w:tr>
        <w:trPr>
          <w:trHeight w:val="283" w:hRule="atLeast"/>
        </w:trPr>
        <w:tc>
          <w:tcPr>
            <w:tcW w:w="989" w:type="dxa"/>
            <w:tcBorders>
              <w:top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cstheme="minorHAnsi" w:ascii="Calibri" w:hAnsi="Calibri"/>
                <w:b/>
                <w:bCs/>
                <w:color w:val="000000"/>
                <w:sz w:val="12"/>
                <w:szCs w:val="12"/>
              </w:rPr>
            </w:r>
          </w:p>
        </w:tc>
        <w:tc>
          <w:tcPr>
            <w:tcW w:w="534" w:type="dxa"/>
            <w:tcBorders>
              <w:top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cstheme="minorHAnsi" w:ascii="Calibri" w:hAnsi="Calibri"/>
                <w:b/>
                <w:bCs/>
                <w:color w:val="000000"/>
                <w:sz w:val="12"/>
                <w:szCs w:val="12"/>
              </w:rPr>
            </w:r>
          </w:p>
        </w:tc>
        <w:tc>
          <w:tcPr>
            <w:tcW w:w="536" w:type="dxa"/>
            <w:tcBorders>
              <w:top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cstheme="minorHAnsi" w:ascii="Calibri" w:hAnsi="Calibri"/>
                <w:b/>
                <w:bCs/>
                <w:color w:val="000000"/>
                <w:sz w:val="12"/>
                <w:szCs w:val="12"/>
              </w:rPr>
            </w:r>
          </w:p>
        </w:tc>
        <w:tc>
          <w:tcPr>
            <w:tcW w:w="477" w:type="dxa"/>
            <w:tcBorders>
              <w:top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cstheme="minorHAnsi" w:ascii="Calibri" w:hAnsi="Calibri"/>
                <w:b/>
                <w:bCs/>
                <w:color w:val="000000"/>
                <w:sz w:val="12"/>
                <w:szCs w:val="12"/>
              </w:rPr>
            </w:r>
          </w:p>
        </w:tc>
        <w:tc>
          <w:tcPr>
            <w:tcW w:w="479" w:type="dxa"/>
            <w:tcBorders>
              <w:top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cstheme="minorHAnsi" w:ascii="Calibri" w:hAnsi="Calibri"/>
                <w:b/>
                <w:bCs/>
                <w:color w:val="000000"/>
                <w:sz w:val="12"/>
                <w:szCs w:val="12"/>
              </w:rPr>
            </w:r>
          </w:p>
        </w:tc>
        <w:tc>
          <w:tcPr>
            <w:tcW w:w="535" w:type="dxa"/>
            <w:tcBorders>
              <w:top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cstheme="minorHAnsi" w:ascii="Calibri" w:hAnsi="Calibri"/>
                <w:b/>
                <w:bCs/>
                <w:color w:val="000000"/>
                <w:sz w:val="12"/>
                <w:szCs w:val="12"/>
              </w:rPr>
            </w:r>
          </w:p>
        </w:tc>
        <w:tc>
          <w:tcPr>
            <w:tcW w:w="539" w:type="dxa"/>
            <w:tcBorders>
              <w:top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cstheme="minorHAnsi" w:ascii="Calibri" w:hAnsi="Calibri"/>
                <w:b/>
                <w:bCs/>
                <w:color w:val="000000"/>
                <w:sz w:val="12"/>
                <w:szCs w:val="12"/>
              </w:rPr>
            </w:r>
          </w:p>
        </w:tc>
        <w:tc>
          <w:tcPr>
            <w:tcW w:w="475" w:type="dxa"/>
            <w:tcBorders>
              <w:top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cstheme="minorHAnsi" w:ascii="Calibri" w:hAnsi="Calibri"/>
                <w:b/>
                <w:bCs/>
                <w:color w:val="000000"/>
                <w:sz w:val="12"/>
                <w:szCs w:val="12"/>
              </w:rPr>
            </w:r>
          </w:p>
        </w:tc>
        <w:tc>
          <w:tcPr>
            <w:tcW w:w="479" w:type="dxa"/>
            <w:tcBorders>
              <w:top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cstheme="minorHAnsi" w:ascii="Calibri" w:hAnsi="Calibri"/>
                <w:b/>
                <w:bCs/>
                <w:color w:val="000000"/>
                <w:sz w:val="12"/>
                <w:szCs w:val="12"/>
              </w:rPr>
            </w:r>
          </w:p>
        </w:tc>
        <w:tc>
          <w:tcPr>
            <w:tcW w:w="434" w:type="dxa"/>
            <w:tcBorders>
              <w:top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cstheme="minorHAnsi" w:ascii="Calibri" w:hAnsi="Calibri"/>
                <w:b/>
                <w:bCs/>
                <w:color w:val="000000"/>
                <w:sz w:val="12"/>
                <w:szCs w:val="12"/>
              </w:rPr>
            </w:r>
          </w:p>
        </w:tc>
        <w:tc>
          <w:tcPr>
            <w:tcW w:w="505" w:type="dxa"/>
            <w:tcBorders>
              <w:top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cstheme="minorHAnsi" w:ascii="Calibri" w:hAnsi="Calibri"/>
                <w:b/>
                <w:bCs/>
                <w:color w:val="000000"/>
                <w:sz w:val="12"/>
                <w:szCs w:val="12"/>
              </w:rPr>
            </w:r>
          </w:p>
        </w:tc>
        <w:tc>
          <w:tcPr>
            <w:tcW w:w="475" w:type="dxa"/>
            <w:tcBorders>
              <w:top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cstheme="minorHAnsi" w:ascii="Calibri" w:hAnsi="Calibri"/>
                <w:b/>
                <w:bCs/>
                <w:color w:val="000000"/>
                <w:sz w:val="12"/>
                <w:szCs w:val="12"/>
              </w:rPr>
            </w:r>
          </w:p>
        </w:tc>
        <w:tc>
          <w:tcPr>
            <w:tcW w:w="477" w:type="dxa"/>
            <w:tcBorders>
              <w:top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cstheme="minorHAnsi" w:ascii="Calibri" w:hAnsi="Calibri"/>
                <w:b/>
                <w:bCs/>
                <w:color w:val="000000"/>
                <w:sz w:val="12"/>
                <w:szCs w:val="12"/>
              </w:rPr>
            </w:r>
          </w:p>
        </w:tc>
        <w:tc>
          <w:tcPr>
            <w:tcW w:w="436" w:type="dxa"/>
            <w:tcBorders>
              <w:top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cstheme="minorHAnsi" w:ascii="Calibri" w:hAnsi="Calibri"/>
                <w:b/>
                <w:bCs/>
                <w:color w:val="000000"/>
                <w:sz w:val="12"/>
                <w:szCs w:val="12"/>
              </w:rPr>
            </w:r>
          </w:p>
        </w:tc>
        <w:tc>
          <w:tcPr>
            <w:tcW w:w="1590" w:type="dxa"/>
            <w:gridSpan w:val="3"/>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Totale Regionale</w:t>
            </w:r>
          </w:p>
        </w:tc>
        <w:tc>
          <w:tcPr>
            <w:tcW w:w="632"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1.999.027</w:t>
            </w:r>
          </w:p>
        </w:tc>
        <w:tc>
          <w:tcPr>
            <w:tcW w:w="628"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jc w:val="center"/>
              <w:rPr>
                <w:rFonts w:ascii="Calibri" w:hAnsi="Calibri" w:cs="Calibri" w:asciiTheme="minorHAnsi" w:cstheme="minorHAnsi" w:hAnsiTheme="minorHAnsi"/>
                <w:b/>
                <w:b/>
                <w:bCs/>
                <w:color w:val="000000"/>
                <w:sz w:val="12"/>
                <w:szCs w:val="12"/>
              </w:rPr>
            </w:pPr>
            <w:r>
              <w:rPr>
                <w:rFonts w:cs="Calibri" w:ascii="Calibri" w:hAnsi="Calibri" w:asciiTheme="minorHAnsi" w:cstheme="minorHAnsi" w:hAnsiTheme="minorHAnsi"/>
                <w:b/>
                <w:bCs/>
                <w:color w:val="000000"/>
                <w:sz w:val="12"/>
                <w:szCs w:val="12"/>
              </w:rPr>
              <w:t>1.767.592</w:t>
            </w:r>
          </w:p>
        </w:tc>
      </w:tr>
    </w:tbl>
    <w:p>
      <w:pPr>
        <w:pStyle w:val="NormalWeb"/>
        <w:spacing w:lineRule="auto" w:line="360" w:before="280" w:after="280"/>
        <w:jc w:val="both"/>
        <w:rPr>
          <w:rFonts w:ascii="Calibri" w:hAnsi="Calibri" w:cs="Calibri"/>
          <w:color w:val="auto"/>
          <w:szCs w:val="22"/>
          <w:lang w:eastAsia="en-US"/>
        </w:rPr>
      </w:pPr>
      <w:r>
        <w:rPr>
          <w:rFonts w:cs="Calibri" w:ascii="Calibri" w:hAnsi="Calibri"/>
          <w:color w:val="auto"/>
          <w:sz w:val="16"/>
          <w:szCs w:val="22"/>
          <w:lang w:eastAsia="en-US"/>
        </w:rPr>
        <w:t>(fonte: archivio regionale AD-RSA Rfc 115 Rfc 118 – estrazione Infoview del 06/06/2023, tab. 51.02_2022)</w:t>
      </w:r>
    </w:p>
    <w:p>
      <w:pPr>
        <w:pStyle w:val="NormalWeb"/>
        <w:spacing w:lineRule="auto" w:line="276" w:before="280" w:after="280"/>
        <w:jc w:val="both"/>
        <w:rPr>
          <w:rFonts w:ascii="Calibri" w:hAnsi="Calibri" w:cs="Calibri"/>
          <w:sz w:val="22"/>
          <w:szCs w:val="22"/>
          <w:lang w:eastAsia="en-US"/>
        </w:rPr>
      </w:pPr>
      <w:r>
        <w:rPr>
          <w:rFonts w:cs="Calibri" w:ascii="Calibri" w:hAnsi="Calibri"/>
          <w:sz w:val="22"/>
          <w:szCs w:val="22"/>
          <w:lang w:eastAsia="en-US"/>
        </w:rPr>
      </w:r>
    </w:p>
    <w:p>
      <w:pPr>
        <w:pStyle w:val="NormalWeb"/>
        <w:spacing w:lineRule="auto" w:line="276" w:before="280" w:after="280"/>
        <w:jc w:val="both"/>
        <w:rPr>
          <w:rFonts w:ascii="Calibri" w:hAnsi="Calibri" w:cs="Calibri"/>
          <w:sz w:val="22"/>
          <w:szCs w:val="22"/>
          <w:lang w:eastAsia="en-US"/>
        </w:rPr>
      </w:pPr>
      <w:r>
        <w:rPr>
          <w:rFonts w:cs="Calibri" w:ascii="Calibri" w:hAnsi="Calibri"/>
          <w:sz w:val="22"/>
          <w:szCs w:val="22"/>
          <w:lang w:eastAsia="en-US"/>
        </w:rPr>
        <w:t>Rientrano nell’Area della domiciliarità, inoltre, i contributi per il caregiver e i contributi per l’assistente familiare.</w:t>
      </w:r>
    </w:p>
    <w:p>
      <w:pPr>
        <w:pStyle w:val="NormalWeb"/>
        <w:spacing w:lineRule="auto" w:line="276" w:before="280" w:after="280"/>
        <w:jc w:val="both"/>
        <w:rPr>
          <w:rFonts w:ascii="Calibri" w:hAnsi="Calibri" w:cs="Calibri"/>
          <w:sz w:val="22"/>
          <w:szCs w:val="22"/>
          <w:lang w:eastAsia="en-US"/>
        </w:rPr>
      </w:pPr>
      <w:r>
        <w:rPr>
          <w:rFonts w:cs="Calibri" w:ascii="Calibri" w:hAnsi="Calibri"/>
          <w:sz w:val="22"/>
          <w:szCs w:val="22"/>
          <w:lang w:eastAsia="en-US"/>
        </w:rPr>
      </w:r>
    </w:p>
    <w:p>
      <w:pPr>
        <w:pStyle w:val="NormalWeb"/>
        <w:spacing w:lineRule="auto" w:line="276" w:before="280" w:after="280"/>
        <w:jc w:val="both"/>
        <w:rPr>
          <w:rFonts w:ascii="Calibri" w:hAnsi="Calibri" w:cs="Calibri"/>
          <w:sz w:val="22"/>
          <w:szCs w:val="22"/>
          <w:lang w:eastAsia="en-US"/>
        </w:rPr>
      </w:pPr>
      <w:r>
        <w:rPr>
          <w:rFonts w:cs="Calibri" w:ascii="Calibri" w:hAnsi="Calibri"/>
          <w:sz w:val="22"/>
          <w:szCs w:val="22"/>
          <w:lang w:eastAsia="en-US"/>
        </w:rPr>
      </w:r>
    </w:p>
    <w:p>
      <w:pPr>
        <w:pStyle w:val="NormalWeb"/>
        <w:spacing w:lineRule="auto" w:line="276" w:before="280" w:after="280"/>
        <w:jc w:val="both"/>
        <w:rPr>
          <w:rFonts w:ascii="Calibri" w:hAnsi="Calibri" w:cs="Calibri"/>
          <w:sz w:val="22"/>
          <w:szCs w:val="22"/>
          <w:lang w:eastAsia="en-US"/>
        </w:rPr>
      </w:pPr>
      <w:r>
        <w:rPr>
          <w:rFonts w:cs="Calibri" w:ascii="Calibri" w:hAnsi="Calibri"/>
          <w:sz w:val="22"/>
          <w:szCs w:val="22"/>
          <w:lang w:eastAsia="en-US"/>
        </w:rPr>
      </w:r>
    </w:p>
    <w:p>
      <w:pPr>
        <w:pStyle w:val="NormalWeb"/>
        <w:spacing w:lineRule="auto" w:line="276" w:before="280" w:after="280"/>
        <w:jc w:val="both"/>
        <w:rPr>
          <w:rFonts w:ascii="Calibri" w:hAnsi="Calibri" w:cs="Calibri"/>
          <w:sz w:val="22"/>
          <w:szCs w:val="22"/>
          <w:lang w:eastAsia="en-US"/>
        </w:rPr>
      </w:pPr>
      <w:r>
        <w:rPr>
          <w:rFonts w:cs="Calibri" w:ascii="Calibri" w:hAnsi="Calibri"/>
          <w:sz w:val="22"/>
          <w:szCs w:val="22"/>
          <w:lang w:eastAsia="en-US"/>
        </w:rPr>
      </w:r>
    </w:p>
    <w:p>
      <w:pPr>
        <w:pStyle w:val="NormalWeb"/>
        <w:numPr>
          <w:ilvl w:val="0"/>
          <w:numId w:val="5"/>
        </w:numPr>
        <w:spacing w:lineRule="auto" w:line="276" w:before="280" w:after="280"/>
        <w:ind w:left="284" w:hanging="284"/>
        <w:jc w:val="both"/>
        <w:rPr>
          <w:rFonts w:ascii="Calibri" w:hAnsi="Calibri" w:cs="Calibri"/>
          <w:b/>
          <w:b/>
          <w:sz w:val="22"/>
          <w:szCs w:val="22"/>
          <w:lang w:eastAsia="en-US"/>
        </w:rPr>
      </w:pPr>
      <w:r>
        <w:rPr>
          <w:rFonts w:cs="Calibri" w:ascii="Calibri" w:hAnsi="Calibri"/>
          <w:b/>
          <w:sz w:val="22"/>
          <w:szCs w:val="22"/>
          <w:lang w:eastAsia="en-US"/>
        </w:rPr>
        <w:t>Area della semiresidenzialità</w:t>
      </w:r>
    </w:p>
    <w:p>
      <w:pPr>
        <w:pStyle w:val="NormalWeb"/>
        <w:spacing w:lineRule="auto" w:line="276" w:before="280" w:after="280"/>
        <w:jc w:val="both"/>
        <w:rPr>
          <w:rFonts w:ascii="Calibri" w:hAnsi="Calibri" w:cs="Calibri"/>
          <w:b/>
          <w:b/>
          <w:sz w:val="22"/>
          <w:szCs w:val="22"/>
          <w:lang w:eastAsia="en-US"/>
        </w:rPr>
      </w:pPr>
      <w:r>
        <w:rPr>
          <w:rFonts w:cs="Calibri" w:ascii="Calibri" w:hAnsi="Calibri"/>
          <w:b/>
          <w:sz w:val="22"/>
          <w:szCs w:val="22"/>
          <w:lang w:eastAsia="en-US"/>
        </w:rPr>
      </w:r>
    </w:p>
    <w:p>
      <w:pPr>
        <w:pStyle w:val="Normal"/>
        <w:spacing w:lineRule="auto" w:line="276"/>
        <w:jc w:val="both"/>
        <w:rPr>
          <w:rFonts w:ascii="Calibri" w:hAnsi="Calibri" w:cs="Calibri" w:asciiTheme="minorHAnsi" w:cstheme="minorHAnsi" w:hAnsiTheme="minorHAnsi"/>
          <w:sz w:val="22"/>
          <w:szCs w:val="22"/>
          <w:lang w:eastAsia="en-US"/>
        </w:rPr>
      </w:pPr>
      <w:r>
        <w:rPr>
          <w:rFonts w:cs="Calibri" w:ascii="Calibri" w:hAnsi="Calibri" w:asciiTheme="minorHAnsi" w:cstheme="minorHAnsi" w:hAnsiTheme="minorHAnsi"/>
          <w:sz w:val="22"/>
          <w:szCs w:val="22"/>
          <w:lang w:eastAsia="en-US"/>
        </w:rPr>
        <w:t>La semiresidenzialità è attuata attraverso i Centri Diurni, quali strutture sociosanitarie (</w:t>
      </w:r>
      <w:r>
        <w:rPr>
          <w:rFonts w:cs="Calibri" w:ascii="Calibri" w:hAnsi="Calibri" w:asciiTheme="minorHAnsi" w:cstheme="minorHAnsi" w:hAnsiTheme="minorHAnsi"/>
          <w:color w:val="000000"/>
          <w:sz w:val="22"/>
          <w:szCs w:val="22"/>
          <w:lang w:eastAsia="en-US"/>
        </w:rPr>
        <w:t>Regolamento 2R di attuazione</w:t>
      </w:r>
      <w:r>
        <w:rPr>
          <w:rFonts w:cs="Calibri" w:ascii="Calibri" w:hAnsi="Calibri" w:asciiTheme="minorHAnsi" w:cstheme="minorHAnsi" w:hAnsiTheme="minorHAnsi"/>
          <w:sz w:val="22"/>
          <w:szCs w:val="22"/>
          <w:lang w:eastAsia="en-US"/>
        </w:rPr>
        <w:t xml:space="preserve"> </w:t>
      </w:r>
      <w:r>
        <w:rPr>
          <w:rFonts w:cs="Calibri" w:ascii="Calibri" w:hAnsi="Calibri" w:asciiTheme="minorHAnsi" w:cstheme="minorHAnsi" w:hAnsiTheme="minorHAnsi"/>
          <w:color w:val="000000"/>
          <w:sz w:val="22"/>
          <w:szCs w:val="22"/>
          <w:lang w:eastAsia="en-US"/>
        </w:rPr>
        <w:t>dell’articolo 62 della Legge</w:t>
      </w:r>
      <w:r>
        <w:rPr>
          <w:rFonts w:cs="Calibri" w:ascii="Calibri" w:hAnsi="Calibri" w:asciiTheme="minorHAnsi" w:cstheme="minorHAnsi" w:hAnsiTheme="minorHAnsi"/>
          <w:sz w:val="22"/>
          <w:szCs w:val="22"/>
          <w:lang w:eastAsia="en-US"/>
        </w:rPr>
        <w:t xml:space="preserve"> </w:t>
      </w:r>
      <w:r>
        <w:rPr>
          <w:rFonts w:cs="Calibri" w:ascii="Calibri" w:hAnsi="Calibri" w:asciiTheme="minorHAnsi" w:cstheme="minorHAnsi" w:hAnsiTheme="minorHAnsi"/>
          <w:color w:val="000000"/>
          <w:sz w:val="22"/>
          <w:szCs w:val="22"/>
          <w:lang w:eastAsia="en-US"/>
        </w:rPr>
        <w:t>Regionale 24 febbraio 2005, n.41</w:t>
      </w:r>
      <w:r>
        <w:rPr>
          <w:rFonts w:cs="Calibri" w:ascii="Calibri" w:hAnsi="Calibri" w:asciiTheme="minorHAnsi" w:cstheme="minorHAnsi" w:hAnsiTheme="minorHAnsi"/>
          <w:sz w:val="22"/>
          <w:szCs w:val="22"/>
          <w:lang w:eastAsia="en-US"/>
        </w:rPr>
        <w:t>)</w:t>
      </w:r>
      <w:r>
        <w:rPr>
          <w:rFonts w:cs="Calibri" w:ascii="Calibri" w:hAnsi="Calibri" w:asciiTheme="minorHAnsi" w:cstheme="minorHAnsi" w:hAnsiTheme="minorHAnsi"/>
          <w:color w:val="000000"/>
          <w:sz w:val="22"/>
          <w:szCs w:val="22"/>
          <w:lang w:eastAsia="en-US"/>
        </w:rPr>
        <w:t xml:space="preserve"> </w:t>
      </w:r>
      <w:r>
        <w:rPr>
          <w:rFonts w:cs="Calibri" w:ascii="Calibri" w:hAnsi="Calibri" w:asciiTheme="minorHAnsi" w:cstheme="minorHAnsi" w:hAnsiTheme="minorHAnsi"/>
          <w:sz w:val="22"/>
          <w:szCs w:val="22"/>
          <w:lang w:eastAsia="en-US"/>
        </w:rPr>
        <w:t>la cui azione è di integrazione e supporto alla domiciliarità. Sono previsti due moduli per i servizi semiresidenziali, il modulo base e il modulo cognitivo comportamentale (Tabella 30).</w:t>
      </w:r>
    </w:p>
    <w:p>
      <w:pPr>
        <w:pStyle w:val="Normal"/>
        <w:spacing w:lineRule="auto" w:line="276"/>
        <w:jc w:val="both"/>
        <w:rPr>
          <w:rFonts w:ascii="Calibri" w:hAnsi="Calibri" w:cs="Calibri" w:asciiTheme="minorHAnsi" w:cstheme="minorHAnsi" w:hAnsiTheme="minorHAnsi"/>
          <w:sz w:val="22"/>
          <w:szCs w:val="22"/>
          <w:lang w:eastAsia="en-US"/>
        </w:rPr>
      </w:pPr>
      <w:r>
        <w:rPr>
          <w:rFonts w:cs="Calibri" w:cstheme="minorHAnsi" w:ascii="Calibri" w:hAnsi="Calibri"/>
          <w:sz w:val="22"/>
          <w:szCs w:val="22"/>
          <w:lang w:eastAsia="en-US"/>
        </w:rPr>
      </w:r>
    </w:p>
    <w:p>
      <w:pPr>
        <w:pStyle w:val="Default"/>
        <w:spacing w:lineRule="auto" w:line="276"/>
        <w:jc w:val="both"/>
        <w:rPr>
          <w:rFonts w:ascii="Calibri" w:hAnsi="Calibri" w:cs="Calibri" w:asciiTheme="minorHAnsi" w:cstheme="minorHAnsi" w:hAnsiTheme="minorHAnsi"/>
          <w:b/>
          <w:b/>
          <w:sz w:val="22"/>
          <w:szCs w:val="22"/>
        </w:rPr>
      </w:pPr>
      <w:r>
        <w:rPr>
          <w:rFonts w:cs="Calibri" w:ascii="Calibri" w:hAnsi="Calibri" w:asciiTheme="minorHAnsi" w:cstheme="minorHAnsi" w:hAnsiTheme="minorHAnsi"/>
          <w:b/>
          <w:sz w:val="22"/>
          <w:szCs w:val="22"/>
        </w:rPr>
        <w:t>Tabella 25. Numero di assistiti semiresidenziali per 1.000 abitanti per intensità di cura, AUSL TC anno 2022</w:t>
      </w:r>
    </w:p>
    <w:p>
      <w:pPr>
        <w:pStyle w:val="Default"/>
        <w:spacing w:lineRule="auto" w:line="276"/>
        <w:jc w:val="both"/>
        <w:rPr>
          <w:rFonts w:ascii="Calibri" w:hAnsi="Calibri" w:cs="Calibri" w:asciiTheme="minorHAnsi" w:cstheme="minorHAnsi" w:hAnsiTheme="minorHAnsi"/>
          <w:sz w:val="22"/>
          <w:szCs w:val="22"/>
        </w:rPr>
      </w:pPr>
      <w:r>
        <w:rPr>
          <w:rFonts w:cs="Calibri" w:cstheme="minorHAnsi" w:ascii="Calibri" w:hAnsi="Calibri"/>
          <w:sz w:val="22"/>
          <w:szCs w:val="22"/>
        </w:rPr>
      </w:r>
    </w:p>
    <w:tbl>
      <w:tblPr>
        <w:tblW w:w="946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366"/>
        <w:gridCol w:w="825"/>
        <w:gridCol w:w="652"/>
        <w:gridCol w:w="1025"/>
        <w:gridCol w:w="762"/>
        <w:gridCol w:w="1626"/>
        <w:gridCol w:w="1209"/>
      </w:tblGrid>
      <w:tr>
        <w:trPr>
          <w:trHeight w:val="260" w:hRule="atLeast"/>
        </w:trPr>
        <w:tc>
          <w:tcPr>
            <w:tcW w:w="3366" w:type="dxa"/>
            <w:vMerge w:val="restart"/>
            <w:tcBorders>
              <w:top w:val="single" w:sz="4" w:space="0" w:color="000000"/>
              <w:left w:val="single" w:sz="4" w:space="0" w:color="000000"/>
              <w:bottom w:val="single" w:sz="4" w:space="0" w:color="000000"/>
              <w:right w:val="single" w:sz="4" w:space="0" w:color="000000"/>
            </w:tcBorders>
            <w:shd w:color="auto" w:fill="FBFF9A"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Numero di assistiti semiresidenziali</w:t>
            </w:r>
          </w:p>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per 1.000 abitanti</w:t>
            </w:r>
          </w:p>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per intensità di cura</w:t>
            </w:r>
          </w:p>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Anno 2022</w:t>
            </w:r>
          </w:p>
        </w:tc>
        <w:tc>
          <w:tcPr>
            <w:tcW w:w="1477" w:type="dxa"/>
            <w:gridSpan w:val="2"/>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Centro Diurno</w:t>
            </w:r>
          </w:p>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Modulo Base</w:t>
            </w:r>
          </w:p>
        </w:tc>
        <w:tc>
          <w:tcPr>
            <w:tcW w:w="1787" w:type="dxa"/>
            <w:gridSpan w:val="2"/>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Centro Diurno</w:t>
            </w:r>
          </w:p>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Modulo cognitivo</w:t>
            </w:r>
          </w:p>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comportamentale</w:t>
            </w:r>
          </w:p>
        </w:tc>
        <w:tc>
          <w:tcPr>
            <w:tcW w:w="1626" w:type="dxa"/>
            <w:vMerge w:val="restart"/>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 xml:space="preserve">Totale </w:t>
            </w:r>
          </w:p>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 xml:space="preserve">assistiti </w:t>
            </w:r>
          </w:p>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Semiresidenziali</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Demografia</w:t>
            </w:r>
          </w:p>
        </w:tc>
      </w:tr>
      <w:tr>
        <w:trPr>
          <w:trHeight w:val="260" w:hRule="atLeast"/>
        </w:trPr>
        <w:tc>
          <w:tcPr>
            <w:tcW w:w="3366" w:type="dxa"/>
            <w:vMerge w:val="continue"/>
            <w:tcBorders>
              <w:top w:val="single" w:sz="4" w:space="0" w:color="000000"/>
              <w:left w:val="single" w:sz="4" w:space="0" w:color="000000"/>
              <w:bottom w:val="single" w:sz="4" w:space="0" w:color="000000"/>
              <w:right w:val="single" w:sz="4" w:space="0" w:color="000000"/>
            </w:tcBorders>
            <w:shd w:color="auto" w:fill="FBFF9A"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cstheme="minorHAnsi" w:ascii="Calibri" w:hAnsi="Calibri"/>
                <w:b/>
                <w:bCs/>
                <w:color w:val="000000"/>
                <w:sz w:val="22"/>
                <w:szCs w:val="22"/>
              </w:rPr>
            </w:r>
          </w:p>
        </w:tc>
        <w:tc>
          <w:tcPr>
            <w:tcW w:w="8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 xml:space="preserve">N. </w:t>
            </w:r>
          </w:p>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assistiti</w:t>
            </w:r>
          </w:p>
        </w:tc>
        <w:tc>
          <w:tcPr>
            <w:tcW w:w="65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Tasso</w:t>
            </w:r>
          </w:p>
        </w:tc>
        <w:tc>
          <w:tcPr>
            <w:tcW w:w="10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N.</w:t>
            </w:r>
          </w:p>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 xml:space="preserve"> </w:t>
            </w:r>
            <w:r>
              <w:rPr>
                <w:rFonts w:cs="Calibri" w:ascii="Calibri" w:hAnsi="Calibri" w:asciiTheme="minorHAnsi" w:cstheme="minorHAnsi" w:hAnsiTheme="minorHAnsi"/>
                <w:b/>
                <w:bCs/>
                <w:color w:val="000000"/>
                <w:sz w:val="22"/>
                <w:szCs w:val="22"/>
              </w:rPr>
              <w:t>assistiti</w:t>
            </w:r>
          </w:p>
        </w:tc>
        <w:tc>
          <w:tcPr>
            <w:tcW w:w="76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Tasso</w:t>
            </w:r>
          </w:p>
        </w:tc>
        <w:tc>
          <w:tcPr>
            <w:tcW w:w="16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cstheme="minorHAnsi" w:ascii="Calibri" w:hAnsi="Calibri"/>
                <w:b/>
                <w:bCs/>
                <w:color w:val="000000"/>
                <w:sz w:val="22"/>
                <w:szCs w:val="22"/>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cstheme="minorHAnsi" w:ascii="Calibri" w:hAnsi="Calibri"/>
                <w:b/>
                <w:bCs/>
                <w:color w:val="000000"/>
                <w:sz w:val="22"/>
                <w:szCs w:val="22"/>
              </w:rPr>
            </w:r>
          </w:p>
        </w:tc>
      </w:tr>
      <w:tr>
        <w:trPr>
          <w:trHeight w:val="260" w:hRule="atLeast"/>
        </w:trPr>
        <w:tc>
          <w:tcPr>
            <w:tcW w:w="336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SdS Firenze</w:t>
            </w:r>
          </w:p>
        </w:tc>
        <w:tc>
          <w:tcPr>
            <w:tcW w:w="8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162</w:t>
            </w:r>
          </w:p>
        </w:tc>
        <w:tc>
          <w:tcPr>
            <w:tcW w:w="65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0,45</w:t>
            </w:r>
          </w:p>
        </w:tc>
        <w:tc>
          <w:tcPr>
            <w:tcW w:w="10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133</w:t>
            </w:r>
          </w:p>
        </w:tc>
        <w:tc>
          <w:tcPr>
            <w:tcW w:w="76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0,37</w:t>
            </w:r>
          </w:p>
        </w:tc>
        <w:tc>
          <w:tcPr>
            <w:tcW w:w="162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295</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361.619</w:t>
            </w:r>
          </w:p>
        </w:tc>
      </w:tr>
      <w:tr>
        <w:trPr>
          <w:trHeight w:val="260" w:hRule="atLeast"/>
        </w:trPr>
        <w:tc>
          <w:tcPr>
            <w:tcW w:w="336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SdS Val di Nievole</w:t>
            </w:r>
          </w:p>
        </w:tc>
        <w:tc>
          <w:tcPr>
            <w:tcW w:w="8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51</w:t>
            </w:r>
          </w:p>
        </w:tc>
        <w:tc>
          <w:tcPr>
            <w:tcW w:w="65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0,43</w:t>
            </w:r>
          </w:p>
        </w:tc>
        <w:tc>
          <w:tcPr>
            <w:tcW w:w="10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23</w:t>
            </w:r>
          </w:p>
        </w:tc>
        <w:tc>
          <w:tcPr>
            <w:tcW w:w="76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0,19</w:t>
            </w:r>
          </w:p>
        </w:tc>
        <w:tc>
          <w:tcPr>
            <w:tcW w:w="162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74</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118.658</w:t>
            </w:r>
          </w:p>
        </w:tc>
      </w:tr>
      <w:tr>
        <w:trPr>
          <w:trHeight w:val="260" w:hRule="atLeast"/>
        </w:trPr>
        <w:tc>
          <w:tcPr>
            <w:tcW w:w="336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SdS Pratese</w:t>
            </w:r>
          </w:p>
        </w:tc>
        <w:tc>
          <w:tcPr>
            <w:tcW w:w="8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75</w:t>
            </w:r>
          </w:p>
        </w:tc>
        <w:tc>
          <w:tcPr>
            <w:tcW w:w="65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0,29</w:t>
            </w:r>
          </w:p>
        </w:tc>
        <w:tc>
          <w:tcPr>
            <w:tcW w:w="10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4</w:t>
            </w:r>
          </w:p>
        </w:tc>
        <w:tc>
          <w:tcPr>
            <w:tcW w:w="76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0,02</w:t>
            </w:r>
          </w:p>
        </w:tc>
        <w:tc>
          <w:tcPr>
            <w:tcW w:w="162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79</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258.123</w:t>
            </w:r>
          </w:p>
        </w:tc>
      </w:tr>
      <w:tr>
        <w:trPr>
          <w:trHeight w:val="260" w:hRule="atLeast"/>
        </w:trPr>
        <w:tc>
          <w:tcPr>
            <w:tcW w:w="336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SdS Pistoiese</w:t>
            </w:r>
          </w:p>
        </w:tc>
        <w:tc>
          <w:tcPr>
            <w:tcW w:w="8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33</w:t>
            </w:r>
          </w:p>
        </w:tc>
        <w:tc>
          <w:tcPr>
            <w:tcW w:w="65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0,19</w:t>
            </w:r>
          </w:p>
        </w:tc>
        <w:tc>
          <w:tcPr>
            <w:tcW w:w="10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43</w:t>
            </w:r>
          </w:p>
        </w:tc>
        <w:tc>
          <w:tcPr>
            <w:tcW w:w="76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0,25</w:t>
            </w:r>
          </w:p>
        </w:tc>
        <w:tc>
          <w:tcPr>
            <w:tcW w:w="162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76</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170.756</w:t>
            </w:r>
          </w:p>
        </w:tc>
      </w:tr>
      <w:tr>
        <w:trPr>
          <w:trHeight w:val="260" w:hRule="atLeast"/>
        </w:trPr>
        <w:tc>
          <w:tcPr>
            <w:tcW w:w="336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SdS Fiorentina Nord-Ovest</w:t>
            </w:r>
          </w:p>
        </w:tc>
        <w:tc>
          <w:tcPr>
            <w:tcW w:w="8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92</w:t>
            </w:r>
          </w:p>
        </w:tc>
        <w:tc>
          <w:tcPr>
            <w:tcW w:w="65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0,44</w:t>
            </w:r>
          </w:p>
        </w:tc>
        <w:tc>
          <w:tcPr>
            <w:tcW w:w="10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40</w:t>
            </w:r>
          </w:p>
        </w:tc>
        <w:tc>
          <w:tcPr>
            <w:tcW w:w="76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0,19</w:t>
            </w:r>
          </w:p>
        </w:tc>
        <w:tc>
          <w:tcPr>
            <w:tcW w:w="162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132</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207.869</w:t>
            </w:r>
          </w:p>
        </w:tc>
      </w:tr>
      <w:tr>
        <w:trPr>
          <w:trHeight w:val="260" w:hRule="atLeast"/>
        </w:trPr>
        <w:tc>
          <w:tcPr>
            <w:tcW w:w="336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SdS Fiorentina Sud-Est</w:t>
            </w:r>
          </w:p>
        </w:tc>
        <w:tc>
          <w:tcPr>
            <w:tcW w:w="8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38</w:t>
            </w:r>
          </w:p>
        </w:tc>
        <w:tc>
          <w:tcPr>
            <w:tcW w:w="65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0,21</w:t>
            </w:r>
          </w:p>
        </w:tc>
        <w:tc>
          <w:tcPr>
            <w:tcW w:w="10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tc>
        <w:tc>
          <w:tcPr>
            <w:tcW w:w="76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0,00</w:t>
            </w:r>
          </w:p>
        </w:tc>
        <w:tc>
          <w:tcPr>
            <w:tcW w:w="162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38</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181.774</w:t>
            </w:r>
          </w:p>
        </w:tc>
      </w:tr>
      <w:tr>
        <w:trPr>
          <w:trHeight w:val="260" w:hRule="atLeast"/>
        </w:trPr>
        <w:tc>
          <w:tcPr>
            <w:tcW w:w="336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SdS Mugello</w:t>
            </w:r>
          </w:p>
        </w:tc>
        <w:tc>
          <w:tcPr>
            <w:tcW w:w="8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20</w:t>
            </w:r>
          </w:p>
        </w:tc>
        <w:tc>
          <w:tcPr>
            <w:tcW w:w="65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0,32</w:t>
            </w:r>
          </w:p>
        </w:tc>
        <w:tc>
          <w:tcPr>
            <w:tcW w:w="10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1</w:t>
            </w:r>
          </w:p>
        </w:tc>
        <w:tc>
          <w:tcPr>
            <w:tcW w:w="76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0,02</w:t>
            </w:r>
          </w:p>
        </w:tc>
        <w:tc>
          <w:tcPr>
            <w:tcW w:w="162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21</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62.989</w:t>
            </w:r>
          </w:p>
        </w:tc>
      </w:tr>
      <w:tr>
        <w:trPr>
          <w:trHeight w:val="260" w:hRule="atLeast"/>
        </w:trPr>
        <w:tc>
          <w:tcPr>
            <w:tcW w:w="336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SdS Empolese -Valdarno Valdelsa</w:t>
            </w:r>
          </w:p>
        </w:tc>
        <w:tc>
          <w:tcPr>
            <w:tcW w:w="8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44</w:t>
            </w:r>
          </w:p>
        </w:tc>
        <w:tc>
          <w:tcPr>
            <w:tcW w:w="65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0,18</w:t>
            </w:r>
          </w:p>
        </w:tc>
        <w:tc>
          <w:tcPr>
            <w:tcW w:w="1025"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1</w:t>
            </w:r>
          </w:p>
        </w:tc>
        <w:tc>
          <w:tcPr>
            <w:tcW w:w="762" w:type="dxa"/>
            <w:tcBorders>
              <w:top w:val="single" w:sz="4" w:space="0" w:color="000000"/>
              <w:left w:val="single" w:sz="4" w:space="0" w:color="000000"/>
              <w:bottom w:val="single" w:sz="4" w:space="0" w:color="000000"/>
              <w:right w:val="single" w:sz="4" w:space="0" w:color="000000"/>
            </w:tcBorders>
            <w:shd w:color="FFFFFF" w:fill="FFFF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0,00</w:t>
            </w:r>
          </w:p>
        </w:tc>
        <w:tc>
          <w:tcPr>
            <w:tcW w:w="1626"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45</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239.953</w:t>
            </w:r>
          </w:p>
        </w:tc>
      </w:tr>
      <w:tr>
        <w:trPr>
          <w:trHeight w:val="260" w:hRule="atLeast"/>
        </w:trPr>
        <w:tc>
          <w:tcPr>
            <w:tcW w:w="3366" w:type="dxa"/>
            <w:tcBorders>
              <w:top w:val="single" w:sz="4" w:space="0" w:color="000000"/>
              <w:left w:val="single" w:sz="4" w:space="0" w:color="000000"/>
              <w:bottom w:val="single" w:sz="4" w:space="0" w:color="000000"/>
              <w:right w:val="single" w:sz="4" w:space="0" w:color="000000"/>
            </w:tcBorders>
            <w:shd w:color="auto" w:fill="95B3D7" w:themeFill="accent1" w:themeFillTint="99" w:val="clear"/>
            <w:vAlign w:val="center"/>
          </w:tcPr>
          <w:p>
            <w:pPr>
              <w:pStyle w:val="Normal"/>
              <w:widowControl w:val="false"/>
              <w:suppressAutoHyphens w:val="false"/>
              <w:spacing w:lineRule="auto" w:line="276"/>
              <w:jc w:val="right"/>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Totale AUSL Toscana Centro</w:t>
            </w:r>
          </w:p>
        </w:tc>
        <w:tc>
          <w:tcPr>
            <w:tcW w:w="825" w:type="dxa"/>
            <w:tcBorders>
              <w:top w:val="single" w:sz="4" w:space="0" w:color="000000"/>
              <w:left w:val="single" w:sz="4" w:space="0" w:color="000000"/>
              <w:bottom w:val="single" w:sz="4" w:space="0" w:color="000000"/>
              <w:right w:val="single" w:sz="4" w:space="0" w:color="000000"/>
            </w:tcBorders>
            <w:shd w:color="auto" w:fill="95B3D7" w:themeFill="accent1" w:themeFillTint="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515</w:t>
            </w:r>
          </w:p>
        </w:tc>
        <w:tc>
          <w:tcPr>
            <w:tcW w:w="652" w:type="dxa"/>
            <w:tcBorders>
              <w:top w:val="single" w:sz="4" w:space="0" w:color="000000"/>
              <w:left w:val="single" w:sz="4" w:space="0" w:color="000000"/>
              <w:bottom w:val="single" w:sz="4" w:space="0" w:color="000000"/>
              <w:right w:val="single" w:sz="4" w:space="0" w:color="000000"/>
            </w:tcBorders>
            <w:shd w:color="auto" w:fill="95B3D7" w:themeFill="accent1" w:themeFillTint="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0,32</w:t>
            </w:r>
          </w:p>
        </w:tc>
        <w:tc>
          <w:tcPr>
            <w:tcW w:w="1025" w:type="dxa"/>
            <w:tcBorders>
              <w:top w:val="single" w:sz="4" w:space="0" w:color="000000"/>
              <w:left w:val="single" w:sz="4" w:space="0" w:color="000000"/>
              <w:bottom w:val="single" w:sz="4" w:space="0" w:color="000000"/>
              <w:right w:val="single" w:sz="4" w:space="0" w:color="000000"/>
            </w:tcBorders>
            <w:shd w:color="auto" w:fill="95B3D7" w:themeFill="accent1" w:themeFillTint="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245</w:t>
            </w:r>
          </w:p>
        </w:tc>
        <w:tc>
          <w:tcPr>
            <w:tcW w:w="762" w:type="dxa"/>
            <w:tcBorders>
              <w:top w:val="single" w:sz="4" w:space="0" w:color="000000"/>
              <w:left w:val="single" w:sz="4" w:space="0" w:color="000000"/>
              <w:bottom w:val="single" w:sz="4" w:space="0" w:color="000000"/>
              <w:right w:val="single" w:sz="4" w:space="0" w:color="000000"/>
            </w:tcBorders>
            <w:shd w:color="auto" w:fill="95B3D7" w:themeFill="accent1" w:themeFillTint="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i/>
                <w:i/>
                <w:iCs/>
                <w:color w:val="000000"/>
                <w:sz w:val="22"/>
                <w:szCs w:val="22"/>
              </w:rPr>
            </w:pPr>
            <w:r>
              <w:rPr>
                <w:rFonts w:cs="Calibri" w:ascii="Calibri" w:hAnsi="Calibri" w:asciiTheme="minorHAnsi" w:cstheme="minorHAnsi" w:hAnsiTheme="minorHAnsi"/>
                <w:b/>
                <w:bCs/>
                <w:i/>
                <w:iCs/>
                <w:color w:val="000000"/>
                <w:sz w:val="22"/>
                <w:szCs w:val="22"/>
              </w:rPr>
              <w:t>0,15</w:t>
            </w:r>
          </w:p>
        </w:tc>
        <w:tc>
          <w:tcPr>
            <w:tcW w:w="1626" w:type="dxa"/>
            <w:tcBorders>
              <w:top w:val="single" w:sz="4" w:space="0" w:color="000000"/>
              <w:left w:val="single" w:sz="4" w:space="0" w:color="000000"/>
              <w:bottom w:val="single" w:sz="4" w:space="0" w:color="000000"/>
              <w:right w:val="single" w:sz="4" w:space="0" w:color="000000"/>
            </w:tcBorders>
            <w:shd w:color="auto" w:fill="95B3D7" w:themeFill="accent1" w:themeFillTint="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760</w:t>
            </w:r>
          </w:p>
        </w:tc>
        <w:tc>
          <w:tcPr>
            <w:tcW w:w="1209" w:type="dxa"/>
            <w:tcBorders>
              <w:top w:val="single" w:sz="4" w:space="0" w:color="000000"/>
              <w:left w:val="single" w:sz="4" w:space="0" w:color="000000"/>
              <w:bottom w:val="single" w:sz="4" w:space="0" w:color="000000"/>
              <w:right w:val="single" w:sz="4" w:space="0" w:color="000000"/>
            </w:tcBorders>
            <w:shd w:color="auto" w:fill="95B3D7" w:themeFill="accent1" w:themeFillTint="99"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1.601.741</w:t>
            </w:r>
          </w:p>
        </w:tc>
      </w:tr>
      <w:tr>
        <w:trPr>
          <w:trHeight w:val="260" w:hRule="atLeast"/>
        </w:trPr>
        <w:tc>
          <w:tcPr>
            <w:tcW w:w="3366"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spacing w:lineRule="auto" w:line="276"/>
              <w:jc w:val="right"/>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Totale Regione Toscana</w:t>
            </w:r>
          </w:p>
        </w:tc>
        <w:tc>
          <w:tcPr>
            <w:tcW w:w="825"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896</w:t>
            </w:r>
          </w:p>
        </w:tc>
        <w:tc>
          <w:tcPr>
            <w:tcW w:w="652"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i/>
                <w:i/>
                <w:iCs/>
                <w:color w:val="000000"/>
                <w:sz w:val="22"/>
                <w:szCs w:val="22"/>
              </w:rPr>
            </w:pPr>
            <w:r>
              <w:rPr>
                <w:rFonts w:cs="Calibri" w:ascii="Calibri" w:hAnsi="Calibri" w:asciiTheme="minorHAnsi" w:cstheme="minorHAnsi" w:hAnsiTheme="minorHAnsi"/>
                <w:i/>
                <w:iCs/>
                <w:color w:val="000000"/>
                <w:sz w:val="22"/>
                <w:szCs w:val="22"/>
              </w:rPr>
              <w:t>0,24</w:t>
            </w:r>
          </w:p>
        </w:tc>
        <w:tc>
          <w:tcPr>
            <w:tcW w:w="1025"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433</w:t>
            </w:r>
          </w:p>
        </w:tc>
        <w:tc>
          <w:tcPr>
            <w:tcW w:w="762"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i/>
                <w:i/>
                <w:iCs/>
                <w:color w:val="000000"/>
                <w:sz w:val="22"/>
                <w:szCs w:val="22"/>
              </w:rPr>
            </w:pPr>
            <w:r>
              <w:rPr>
                <w:rFonts w:cs="Calibri" w:ascii="Calibri" w:hAnsi="Calibri" w:asciiTheme="minorHAnsi" w:cstheme="minorHAnsi" w:hAnsiTheme="minorHAnsi"/>
                <w:b/>
                <w:bCs/>
                <w:i/>
                <w:iCs/>
                <w:color w:val="000000"/>
                <w:sz w:val="22"/>
                <w:szCs w:val="22"/>
              </w:rPr>
              <w:t>0,12</w:t>
            </w:r>
          </w:p>
        </w:tc>
        <w:tc>
          <w:tcPr>
            <w:tcW w:w="1626"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1.329</w:t>
            </w:r>
          </w:p>
        </w:tc>
        <w:tc>
          <w:tcPr>
            <w:tcW w:w="1209" w:type="dxa"/>
            <w:tcBorders>
              <w:top w:val="single" w:sz="4" w:space="0" w:color="000000"/>
              <w:left w:val="single" w:sz="4" w:space="0" w:color="000000"/>
              <w:bottom w:val="single" w:sz="4" w:space="0" w:color="000000"/>
              <w:right w:val="single" w:sz="4" w:space="0" w:color="000000"/>
            </w:tcBorders>
            <w:shd w:color="auto" w:fill="FFC000" w:val="clear"/>
            <w:vAlign w:val="center"/>
          </w:tcPr>
          <w:p>
            <w:pPr>
              <w:pStyle w:val="Normal"/>
              <w:widowControl w:val="false"/>
              <w:suppressAutoHyphens w:val="false"/>
              <w:spacing w:lineRule="auto" w:line="276"/>
              <w:jc w:val="center"/>
              <w:rPr>
                <w:rFonts w:ascii="Calibri" w:hAnsi="Calibri" w:cs="Calibri" w:asciiTheme="minorHAnsi" w:cstheme="minorHAnsi" w:hAnsiTheme="minorHAnsi"/>
                <w:b/>
                <w:b/>
                <w:bCs/>
                <w:color w:val="000000"/>
                <w:sz w:val="22"/>
                <w:szCs w:val="22"/>
              </w:rPr>
            </w:pPr>
            <w:r>
              <w:rPr>
                <w:rFonts w:cs="Calibri" w:ascii="Calibri" w:hAnsi="Calibri" w:asciiTheme="minorHAnsi" w:cstheme="minorHAnsi" w:hAnsiTheme="minorHAnsi"/>
                <w:b/>
                <w:bCs/>
                <w:color w:val="000000"/>
                <w:sz w:val="22"/>
                <w:szCs w:val="22"/>
              </w:rPr>
              <w:t>3.663.191</w:t>
            </w:r>
          </w:p>
        </w:tc>
      </w:tr>
    </w:tbl>
    <w:p>
      <w:pPr>
        <w:pStyle w:val="Normal"/>
        <w:spacing w:lineRule="auto" w:line="276"/>
        <w:rPr>
          <w:rFonts w:ascii="Calibri" w:hAnsi="Calibri" w:cs="Calibri" w:asciiTheme="minorHAnsi" w:cstheme="minorHAnsi" w:hAnsiTheme="minorHAnsi"/>
          <w:sz w:val="20"/>
          <w:szCs w:val="20"/>
          <w:lang w:eastAsia="en-US"/>
        </w:rPr>
      </w:pPr>
      <w:r>
        <w:rPr>
          <w:rFonts w:cs="Calibri" w:ascii="Calibri" w:hAnsi="Calibri" w:asciiTheme="minorHAnsi" w:cstheme="minorHAnsi" w:hAnsiTheme="minorHAnsi"/>
          <w:sz w:val="20"/>
          <w:szCs w:val="20"/>
          <w:lang w:eastAsia="en-US"/>
        </w:rPr>
        <w:t>(fonte: archivio regionale AD-RSA Rfc 115 Rfc 118 – estrazione Infoview del 06/06/2023, tab. FAR 03_FAR04)</w:t>
      </w:r>
    </w:p>
    <w:p>
      <w:pPr>
        <w:pStyle w:val="Normal"/>
        <w:spacing w:lineRule="auto" w:line="276"/>
        <w:jc w:val="center"/>
        <w:rPr>
          <w:rFonts w:ascii="Calibri" w:hAnsi="Calibri" w:cs="Calibri" w:asciiTheme="minorHAnsi" w:cstheme="minorHAnsi" w:hAnsiTheme="minorHAnsi"/>
          <w:color w:val="231F20"/>
          <w:sz w:val="22"/>
          <w:szCs w:val="22"/>
        </w:rPr>
      </w:pPr>
      <w:r>
        <w:rPr>
          <w:rFonts w:cs="Calibri" w:cstheme="minorHAnsi" w:ascii="Calibri" w:hAnsi="Calibri"/>
          <w:color w:val="231F20"/>
          <w:sz w:val="22"/>
          <w:szCs w:val="22"/>
        </w:rPr>
      </w:r>
    </w:p>
    <w:p>
      <w:pPr>
        <w:pStyle w:val="NormalWeb"/>
        <w:numPr>
          <w:ilvl w:val="0"/>
          <w:numId w:val="5"/>
        </w:numPr>
        <w:spacing w:lineRule="auto" w:line="276" w:before="280" w:after="280"/>
        <w:ind w:left="284" w:hanging="284"/>
        <w:jc w:val="both"/>
        <w:rPr>
          <w:rFonts w:ascii="Calibri" w:hAnsi="Calibri" w:cs="Calibri" w:asciiTheme="minorHAnsi" w:cstheme="minorHAnsi" w:hAnsiTheme="minorHAnsi"/>
          <w:b/>
          <w:b/>
          <w:sz w:val="22"/>
          <w:szCs w:val="22"/>
          <w:lang w:eastAsia="en-US"/>
        </w:rPr>
      </w:pPr>
      <w:r>
        <w:rPr>
          <w:rFonts w:cs="Calibri" w:ascii="Calibri" w:hAnsi="Calibri" w:asciiTheme="minorHAnsi" w:cstheme="minorHAnsi" w:hAnsiTheme="minorHAnsi"/>
          <w:b/>
          <w:sz w:val="22"/>
          <w:szCs w:val="22"/>
          <w:lang w:eastAsia="en-US"/>
        </w:rPr>
        <w:t>Area della residenzialità (permanente, temporanea e di sollievo)</w:t>
      </w:r>
    </w:p>
    <w:p>
      <w:pPr>
        <w:pStyle w:val="Normal"/>
        <w:spacing w:lineRule="auto" w:line="276"/>
        <w:jc w:val="both"/>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Sulla base della valutazione multidimensionale UVM e della definizione del Piano di Assistenza Personalizzato (PAP), una persona, attraverso il principio della libera scelta per i progetti residenziali di modulo base, può essere accolta in RSA . Il costo di tale servizio consta di una quota sanitaria e una sociale; questa ultima è a carico della persona, con eventuale integrazione pubblica determinata in base all'ISEE, secondo il regolamento della SdS di residenza.</w:t>
      </w:r>
    </w:p>
    <w:p>
      <w:pPr>
        <w:pStyle w:val="Normal"/>
        <w:spacing w:lineRule="auto" w:line="276"/>
        <w:jc w:val="both"/>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L’accoglienza in RSA può essere un servizio temporaneo, di sollievo o permanente, subordinato alla definizione, a cura dell’UVM, di un PAP di tipo residenziale, a seguito dell’accertamento e valutazione multidimensionale e multidisciplinare di uno stato di bisogno sociosanitario che rende impossibile, in via temporanea o permanente, l’attivazione di servizi di tipo domiciliare.</w:t>
      </w:r>
    </w:p>
    <w:p>
      <w:pPr>
        <w:pStyle w:val="Normal"/>
        <w:spacing w:lineRule="auto" w:line="276"/>
        <w:jc w:val="both"/>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Il DPGR 9 gennaio 2018, n. 2/R (</w:t>
      </w:r>
      <w:r>
        <w:rPr>
          <w:rFonts w:cs="Calibri" w:ascii="Calibri" w:hAnsi="Calibri" w:asciiTheme="minorHAnsi" w:cstheme="minorHAnsi" w:hAnsiTheme="minorHAnsi"/>
          <w:b/>
          <w:bCs/>
          <w:sz w:val="22"/>
          <w:szCs w:val="22"/>
        </w:rPr>
        <w:t>Regolamento 2R di attuazione dell’articolo 62 della Legge Regionale 24 febbraio 2005, n.41)</w:t>
      </w:r>
      <w:r>
        <w:rPr>
          <w:rFonts w:cs="Calibri" w:ascii="Calibri" w:hAnsi="Calibri" w:asciiTheme="minorHAnsi" w:cstheme="minorHAnsi" w:hAnsiTheme="minorHAnsi"/>
          <w:color w:val="000000"/>
          <w:sz w:val="22"/>
          <w:szCs w:val="22"/>
        </w:rPr>
        <w:t xml:space="preserve"> prevede la declinazione dell’offerta in RSA nei seguenti moduli: </w:t>
      </w:r>
    </w:p>
    <w:p>
      <w:pPr>
        <w:pStyle w:val="Normal"/>
        <w:spacing w:lineRule="auto" w:line="276"/>
        <w:jc w:val="both"/>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 xml:space="preserve">- Modulo base </w:t>
      </w:r>
    </w:p>
    <w:p>
      <w:pPr>
        <w:pStyle w:val="Normal"/>
        <w:spacing w:lineRule="auto" w:line="276"/>
        <w:jc w:val="both"/>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 xml:space="preserve">- Modulo BIA (Bassa Intensità Assistenziale) </w:t>
      </w:r>
    </w:p>
    <w:p>
      <w:pPr>
        <w:pStyle w:val="Normal"/>
        <w:spacing w:lineRule="auto" w:line="276"/>
        <w:jc w:val="both"/>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 xml:space="preserve">- Moduli specialistici </w:t>
      </w:r>
    </w:p>
    <w:p>
      <w:pPr>
        <w:pStyle w:val="Default"/>
        <w:spacing w:lineRule="auto" w:line="276"/>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Nell’anno 2022, le nuove ammissioni in RSA nel territorio dell’Azienda Usl Toscana Centro sono state 11.670 (in Regione Toscana 24.279), con un numero complessivo di giornate di assistenza pari a </w:t>
      </w:r>
      <w:r>
        <w:rPr>
          <w:rFonts w:cs="Calibri" w:ascii="Calibri" w:hAnsi="Calibri" w:asciiTheme="minorHAnsi" w:cstheme="minorHAnsi" w:hAnsiTheme="minorHAnsi"/>
          <w:i/>
          <w:iCs/>
          <w:sz w:val="22"/>
          <w:szCs w:val="22"/>
        </w:rPr>
        <w:t xml:space="preserve">1.624.192 </w:t>
      </w:r>
      <w:r>
        <w:rPr>
          <w:rFonts w:cs="Calibri" w:ascii="Calibri" w:hAnsi="Calibri" w:asciiTheme="minorHAnsi" w:cstheme="minorHAnsi" w:hAnsiTheme="minorHAnsi"/>
          <w:iCs/>
          <w:sz w:val="22"/>
          <w:szCs w:val="22"/>
        </w:rPr>
        <w:t>(Tabella 26)</w:t>
      </w:r>
      <w:r>
        <w:rPr>
          <w:rFonts w:cs="Calibri" w:ascii="Calibri" w:hAnsi="Calibri" w:asciiTheme="minorHAnsi" w:cstheme="minorHAnsi" w:hAnsiTheme="minorHAnsi"/>
          <w:sz w:val="22"/>
          <w:szCs w:val="22"/>
        </w:rPr>
        <w:t>.</w:t>
      </w:r>
      <w:r>
        <w:br w:type="page"/>
      </w:r>
    </w:p>
    <w:p>
      <w:pPr>
        <w:pStyle w:val="Default"/>
        <w:spacing w:lineRule="auto" w:line="276"/>
        <w:jc w:val="both"/>
        <w:rPr>
          <w:rFonts w:ascii="Calibri" w:hAnsi="Calibri" w:cs="Calibri" w:asciiTheme="minorHAnsi" w:cstheme="minorHAnsi" w:hAnsiTheme="minorHAnsi"/>
          <w:sz w:val="22"/>
          <w:szCs w:val="22"/>
        </w:rPr>
      </w:pPr>
      <w:r>
        <w:rPr>
          <w:rFonts w:cs="Calibri" w:cstheme="minorHAnsi" w:ascii="Calibri" w:hAnsi="Calibri"/>
          <w:sz w:val="22"/>
          <w:szCs w:val="22"/>
        </w:rPr>
      </w:r>
    </w:p>
    <w:p>
      <w:pPr>
        <w:pStyle w:val="Default"/>
        <w:spacing w:lineRule="auto" w:line="276"/>
        <w:jc w:val="both"/>
        <w:rPr>
          <w:rFonts w:ascii="Calibri" w:hAnsi="Calibri" w:cs="Calibri" w:asciiTheme="minorHAnsi" w:cstheme="minorHAnsi" w:hAnsiTheme="minorHAnsi"/>
          <w:b/>
          <w:b/>
          <w:sz w:val="22"/>
          <w:szCs w:val="22"/>
        </w:rPr>
      </w:pPr>
      <w:r>
        <w:rPr>
          <w:rFonts w:cs="Calibri" w:ascii="Calibri" w:hAnsi="Calibri" w:asciiTheme="minorHAnsi" w:cstheme="minorHAnsi" w:hAnsiTheme="minorHAnsi"/>
          <w:b/>
          <w:sz w:val="22"/>
          <w:szCs w:val="22"/>
        </w:rPr>
        <w:t>Tabella 26. Ammissioni e giornate di assistenza in RSA, AUSL TC anno 2022</w:t>
      </w:r>
    </w:p>
    <w:tbl>
      <w:tblPr>
        <w:tblStyle w:val="Tabellagriglia4-colore51"/>
        <w:tblW w:w="78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206"/>
        <w:gridCol w:w="954"/>
        <w:gridCol w:w="1229"/>
        <w:gridCol w:w="1111"/>
        <w:gridCol w:w="1339"/>
      </w:tblGrid>
      <w:tr>
        <w:trPr>
          <w:trHeight w:val="227" w:hRule="atLeast"/>
        </w:trPr>
        <w:tc>
          <w:tcPr>
            <w:tcW w:w="3206" w:type="dxa"/>
            <w:tcBorders/>
          </w:tcPr>
          <w:p>
            <w:pPr>
              <w:pStyle w:val="Normal"/>
              <w:widowControl/>
              <w:suppressAutoHyphens w:val="false"/>
              <w:spacing w:lineRule="auto" w:line="276" w:before="0" w:after="0"/>
              <w:jc w:val="left"/>
              <w:rPr>
                <w:rFonts w:ascii="Calibri" w:hAnsi="Calibri" w:cs="Calibri" w:asciiTheme="minorHAnsi" w:cstheme="minorHAnsi" w:hAnsiTheme="minorHAnsi"/>
                <w:sz w:val="22"/>
                <w:szCs w:val="22"/>
              </w:rPr>
            </w:pPr>
            <w:r>
              <w:rPr>
                <w:rFonts w:eastAsia="Times New Roman" w:cs="Calibri" w:ascii="Calibri" w:hAnsi="Calibri" w:asciiTheme="minorHAnsi" w:cstheme="minorHAnsi" w:hAnsiTheme="minorHAnsi"/>
                <w:kern w:val="0"/>
                <w:sz w:val="22"/>
                <w:szCs w:val="22"/>
                <w:lang w:val="it-IT" w:eastAsia="en-US" w:bidi="ar-SA"/>
              </w:rPr>
              <w:t>ZONE/SDS</w:t>
            </w:r>
          </w:p>
        </w:tc>
        <w:tc>
          <w:tcPr>
            <w:tcW w:w="954" w:type="dxa"/>
            <w:tcBorders/>
          </w:tcPr>
          <w:p>
            <w:pPr>
              <w:pStyle w:val="Normal"/>
              <w:widowControl/>
              <w:suppressAutoHyphens w:val="false"/>
              <w:spacing w:lineRule="auto" w:line="276" w:before="0" w:after="0"/>
              <w:jc w:val="center"/>
              <w:rPr>
                <w:rFonts w:ascii="Calibri" w:hAnsi="Calibri" w:cs="Calibri" w:asciiTheme="minorHAnsi" w:cstheme="minorHAnsi" w:hAnsiTheme="minorHAnsi"/>
                <w:sz w:val="22"/>
                <w:szCs w:val="22"/>
              </w:rPr>
            </w:pPr>
            <w:r>
              <w:rPr>
                <w:rFonts w:eastAsia="Times New Roman" w:cs="Calibri" w:ascii="Calibri" w:hAnsi="Calibri" w:asciiTheme="minorHAnsi" w:cstheme="minorHAnsi" w:hAnsiTheme="minorHAnsi"/>
                <w:kern w:val="0"/>
                <w:sz w:val="22"/>
                <w:szCs w:val="22"/>
                <w:lang w:val="it-IT" w:eastAsia="en-US" w:bidi="ar-SA"/>
              </w:rPr>
              <w:t xml:space="preserve">Numero </w:t>
            </w:r>
          </w:p>
          <w:p>
            <w:pPr>
              <w:pStyle w:val="Normal"/>
              <w:widowControl/>
              <w:suppressAutoHyphens w:val="false"/>
              <w:spacing w:lineRule="auto" w:line="276" w:before="0" w:after="0"/>
              <w:jc w:val="center"/>
              <w:rPr>
                <w:rFonts w:ascii="Calibri" w:hAnsi="Calibri" w:cs="Calibri" w:asciiTheme="minorHAnsi" w:cstheme="minorHAnsi" w:hAnsiTheme="minorHAnsi"/>
                <w:sz w:val="22"/>
                <w:szCs w:val="22"/>
              </w:rPr>
            </w:pPr>
            <w:r>
              <w:rPr>
                <w:rFonts w:eastAsia="Times New Roman" w:cs="Calibri" w:ascii="Calibri" w:hAnsi="Calibri" w:asciiTheme="minorHAnsi" w:cstheme="minorHAnsi" w:hAnsiTheme="minorHAnsi"/>
                <w:kern w:val="0"/>
                <w:sz w:val="22"/>
                <w:szCs w:val="22"/>
                <w:lang w:val="it-IT" w:eastAsia="en-US" w:bidi="ar-SA"/>
              </w:rPr>
              <w:t>assistiti</w:t>
            </w:r>
          </w:p>
        </w:tc>
        <w:tc>
          <w:tcPr>
            <w:tcW w:w="122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sz w:val="22"/>
                <w:szCs w:val="22"/>
              </w:rPr>
            </w:pPr>
            <w:r>
              <w:rPr>
                <w:rFonts w:eastAsia="Times New Roman" w:cs="Calibri" w:ascii="Calibri" w:hAnsi="Calibri" w:asciiTheme="minorHAnsi" w:cstheme="minorHAnsi" w:hAnsiTheme="minorHAnsi"/>
                <w:kern w:val="0"/>
                <w:sz w:val="22"/>
                <w:szCs w:val="22"/>
                <w:lang w:val="it-IT" w:eastAsia="en-US" w:bidi="ar-SA"/>
              </w:rPr>
              <w:t xml:space="preserve">Numero </w:t>
            </w:r>
          </w:p>
          <w:p>
            <w:pPr>
              <w:pStyle w:val="Normal"/>
              <w:widowControl/>
              <w:suppressAutoHyphens w:val="false"/>
              <w:spacing w:lineRule="auto" w:line="276" w:before="0" w:after="0"/>
              <w:jc w:val="center"/>
              <w:rPr>
                <w:rFonts w:ascii="Calibri" w:hAnsi="Calibri" w:cs="Calibri" w:asciiTheme="minorHAnsi" w:cstheme="minorHAnsi" w:hAnsiTheme="minorHAnsi"/>
                <w:sz w:val="22"/>
                <w:szCs w:val="22"/>
              </w:rPr>
            </w:pPr>
            <w:r>
              <w:rPr>
                <w:rFonts w:eastAsia="Times New Roman" w:cs="Calibri" w:ascii="Calibri" w:hAnsi="Calibri" w:asciiTheme="minorHAnsi" w:cstheme="minorHAnsi" w:hAnsiTheme="minorHAnsi"/>
                <w:kern w:val="0"/>
                <w:sz w:val="22"/>
                <w:szCs w:val="22"/>
                <w:lang w:val="it-IT" w:eastAsia="en-US" w:bidi="ar-SA"/>
              </w:rPr>
              <w:t>ammissioni</w:t>
            </w:r>
          </w:p>
        </w:tc>
        <w:tc>
          <w:tcPr>
            <w:tcW w:w="1111" w:type="dxa"/>
            <w:tcBorders/>
          </w:tcPr>
          <w:p>
            <w:pPr>
              <w:pStyle w:val="Normal"/>
              <w:widowControl/>
              <w:suppressAutoHyphens w:val="false"/>
              <w:spacing w:lineRule="auto" w:line="276" w:before="0" w:after="0"/>
              <w:jc w:val="center"/>
              <w:rPr>
                <w:rFonts w:ascii="Calibri" w:hAnsi="Calibri" w:cs="Calibri" w:asciiTheme="minorHAnsi" w:cstheme="minorHAnsi" w:hAnsiTheme="minorHAnsi"/>
                <w:sz w:val="22"/>
                <w:szCs w:val="22"/>
              </w:rPr>
            </w:pPr>
            <w:r>
              <w:rPr>
                <w:rFonts w:eastAsia="Times New Roman" w:cs="Calibri" w:ascii="Calibri" w:hAnsi="Calibri" w:asciiTheme="minorHAnsi" w:cstheme="minorHAnsi" w:hAnsiTheme="minorHAnsi"/>
                <w:kern w:val="0"/>
                <w:sz w:val="22"/>
                <w:szCs w:val="22"/>
                <w:lang w:val="it-IT" w:eastAsia="en-US" w:bidi="ar-SA"/>
              </w:rPr>
              <w:t xml:space="preserve">Numero </w:t>
            </w:r>
          </w:p>
          <w:p>
            <w:pPr>
              <w:pStyle w:val="Normal"/>
              <w:widowControl/>
              <w:suppressAutoHyphens w:val="false"/>
              <w:spacing w:lineRule="auto" w:line="276" w:before="0" w:after="0"/>
              <w:jc w:val="center"/>
              <w:rPr>
                <w:rFonts w:ascii="Calibri" w:hAnsi="Calibri" w:cs="Calibri" w:asciiTheme="minorHAnsi" w:cstheme="minorHAnsi" w:hAnsiTheme="minorHAnsi"/>
                <w:sz w:val="22"/>
                <w:szCs w:val="22"/>
              </w:rPr>
            </w:pPr>
            <w:r>
              <w:rPr>
                <w:rFonts w:eastAsia="Times New Roman" w:cs="Calibri" w:ascii="Calibri" w:hAnsi="Calibri" w:asciiTheme="minorHAnsi" w:cstheme="minorHAnsi" w:hAnsiTheme="minorHAnsi"/>
                <w:kern w:val="0"/>
                <w:sz w:val="22"/>
                <w:szCs w:val="22"/>
                <w:lang w:val="it-IT" w:eastAsia="en-US" w:bidi="ar-SA"/>
              </w:rPr>
              <w:t>dimissioni</w:t>
            </w:r>
          </w:p>
        </w:tc>
        <w:tc>
          <w:tcPr>
            <w:tcW w:w="133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sz w:val="22"/>
                <w:szCs w:val="22"/>
              </w:rPr>
            </w:pPr>
            <w:r>
              <w:rPr>
                <w:rFonts w:eastAsia="Times New Roman" w:cs="Calibri" w:ascii="Calibri" w:hAnsi="Calibri" w:asciiTheme="minorHAnsi" w:cstheme="minorHAnsi" w:hAnsiTheme="minorHAnsi"/>
                <w:kern w:val="0"/>
                <w:sz w:val="22"/>
                <w:szCs w:val="22"/>
                <w:lang w:val="it-IT" w:eastAsia="en-US" w:bidi="ar-SA"/>
              </w:rPr>
              <w:t xml:space="preserve">Giornate </w:t>
            </w:r>
          </w:p>
          <w:p>
            <w:pPr>
              <w:pStyle w:val="Normal"/>
              <w:widowControl/>
              <w:suppressAutoHyphens w:val="false"/>
              <w:spacing w:lineRule="auto" w:line="276" w:before="0" w:after="0"/>
              <w:jc w:val="center"/>
              <w:rPr>
                <w:rFonts w:ascii="Calibri" w:hAnsi="Calibri" w:cs="Calibri" w:asciiTheme="minorHAnsi" w:cstheme="minorHAnsi" w:hAnsiTheme="minorHAnsi"/>
                <w:sz w:val="22"/>
                <w:szCs w:val="22"/>
              </w:rPr>
            </w:pPr>
            <w:r>
              <w:rPr>
                <w:rFonts w:eastAsia="Times New Roman" w:cs="Calibri" w:ascii="Calibri" w:hAnsi="Calibri" w:asciiTheme="minorHAnsi" w:cstheme="minorHAnsi" w:hAnsiTheme="minorHAnsi"/>
                <w:kern w:val="0"/>
                <w:sz w:val="22"/>
                <w:szCs w:val="22"/>
                <w:lang w:val="it-IT" w:eastAsia="en-US" w:bidi="ar-SA"/>
              </w:rPr>
              <w:t>di assistenza</w:t>
            </w:r>
          </w:p>
        </w:tc>
      </w:tr>
      <w:tr>
        <w:trPr>
          <w:trHeight w:val="227" w:hRule="atLeast"/>
        </w:trPr>
        <w:tc>
          <w:tcPr>
            <w:tcW w:w="3206" w:type="dxa"/>
            <w:tcBorders/>
          </w:tcPr>
          <w:p>
            <w:pPr>
              <w:pStyle w:val="Normal"/>
              <w:widowControl/>
              <w:suppressAutoHyphens w:val="false"/>
              <w:spacing w:lineRule="auto" w:line="276" w:before="0" w:after="0"/>
              <w:jc w:val="left"/>
              <w:rPr>
                <w:rFonts w:ascii="Calibri" w:hAnsi="Calibri" w:cs="Calibri" w:asciiTheme="minorHAnsi" w:cstheme="minorHAnsi" w:hAnsiTheme="minorHAnsi"/>
                <w:sz w:val="22"/>
                <w:szCs w:val="22"/>
              </w:rPr>
            </w:pPr>
            <w:r>
              <w:rPr>
                <w:rFonts w:eastAsia="Times New Roman" w:cs="Calibri" w:ascii="Calibri" w:hAnsi="Calibri" w:asciiTheme="minorHAnsi" w:cstheme="minorHAnsi" w:hAnsiTheme="minorHAnsi"/>
                <w:kern w:val="0"/>
                <w:sz w:val="22"/>
                <w:szCs w:val="22"/>
                <w:lang w:val="it-IT" w:eastAsia="en-US" w:bidi="ar-SA"/>
              </w:rPr>
              <w:t>SdS Firenze</w:t>
            </w:r>
          </w:p>
        </w:tc>
        <w:tc>
          <w:tcPr>
            <w:tcW w:w="954"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4.216</w:t>
            </w:r>
          </w:p>
        </w:tc>
        <w:tc>
          <w:tcPr>
            <w:tcW w:w="122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4.899</w:t>
            </w:r>
          </w:p>
        </w:tc>
        <w:tc>
          <w:tcPr>
            <w:tcW w:w="1111"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4.905</w:t>
            </w:r>
          </w:p>
        </w:tc>
        <w:tc>
          <w:tcPr>
            <w:tcW w:w="133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692.519</w:t>
            </w:r>
          </w:p>
        </w:tc>
      </w:tr>
      <w:tr>
        <w:trPr>
          <w:trHeight w:val="227" w:hRule="atLeast"/>
        </w:trPr>
        <w:tc>
          <w:tcPr>
            <w:tcW w:w="3206" w:type="dxa"/>
            <w:tcBorders/>
          </w:tcPr>
          <w:p>
            <w:pPr>
              <w:pStyle w:val="Normal"/>
              <w:widowControl/>
              <w:suppressAutoHyphens w:val="false"/>
              <w:spacing w:lineRule="auto" w:line="276" w:before="0" w:after="0"/>
              <w:jc w:val="left"/>
              <w:rPr>
                <w:rFonts w:ascii="Calibri" w:hAnsi="Calibri" w:cs="Calibri" w:asciiTheme="minorHAnsi" w:cstheme="minorHAnsi" w:hAnsiTheme="minorHAnsi"/>
                <w:sz w:val="22"/>
                <w:szCs w:val="22"/>
              </w:rPr>
            </w:pPr>
            <w:r>
              <w:rPr>
                <w:rFonts w:eastAsia="Times New Roman" w:cs="Calibri" w:ascii="Calibri" w:hAnsi="Calibri" w:asciiTheme="minorHAnsi" w:cstheme="minorHAnsi" w:hAnsiTheme="minorHAnsi"/>
                <w:kern w:val="0"/>
                <w:sz w:val="22"/>
                <w:szCs w:val="22"/>
                <w:lang w:val="it-IT" w:eastAsia="en-US" w:bidi="ar-SA"/>
              </w:rPr>
              <w:t>SdS Val di Nievole</w:t>
            </w:r>
          </w:p>
        </w:tc>
        <w:tc>
          <w:tcPr>
            <w:tcW w:w="954"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442</w:t>
            </w:r>
          </w:p>
        </w:tc>
        <w:tc>
          <w:tcPr>
            <w:tcW w:w="122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438</w:t>
            </w:r>
          </w:p>
        </w:tc>
        <w:tc>
          <w:tcPr>
            <w:tcW w:w="1111"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441</w:t>
            </w:r>
          </w:p>
        </w:tc>
        <w:tc>
          <w:tcPr>
            <w:tcW w:w="133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53.773</w:t>
            </w:r>
          </w:p>
        </w:tc>
      </w:tr>
      <w:tr>
        <w:trPr>
          <w:trHeight w:val="227" w:hRule="atLeast"/>
        </w:trPr>
        <w:tc>
          <w:tcPr>
            <w:tcW w:w="3206" w:type="dxa"/>
            <w:tcBorders/>
          </w:tcPr>
          <w:p>
            <w:pPr>
              <w:pStyle w:val="Normal"/>
              <w:widowControl/>
              <w:suppressAutoHyphens w:val="false"/>
              <w:spacing w:lineRule="auto" w:line="276" w:before="0" w:after="0"/>
              <w:jc w:val="left"/>
              <w:rPr>
                <w:rFonts w:ascii="Calibri" w:hAnsi="Calibri" w:cs="Calibri" w:asciiTheme="minorHAnsi" w:cstheme="minorHAnsi" w:hAnsiTheme="minorHAnsi"/>
                <w:sz w:val="22"/>
                <w:szCs w:val="22"/>
              </w:rPr>
            </w:pPr>
            <w:r>
              <w:rPr>
                <w:rFonts w:eastAsia="Times New Roman" w:cs="Calibri" w:ascii="Calibri" w:hAnsi="Calibri" w:asciiTheme="minorHAnsi" w:cstheme="minorHAnsi" w:hAnsiTheme="minorHAnsi"/>
                <w:kern w:val="0"/>
                <w:sz w:val="22"/>
                <w:szCs w:val="22"/>
                <w:lang w:val="it-IT" w:eastAsia="en-US" w:bidi="ar-SA"/>
              </w:rPr>
              <w:t>SdS Pratese</w:t>
            </w:r>
          </w:p>
        </w:tc>
        <w:tc>
          <w:tcPr>
            <w:tcW w:w="954"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1.417</w:t>
            </w:r>
          </w:p>
        </w:tc>
        <w:tc>
          <w:tcPr>
            <w:tcW w:w="122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1.126</w:t>
            </w:r>
          </w:p>
        </w:tc>
        <w:tc>
          <w:tcPr>
            <w:tcW w:w="1111"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1.172</w:t>
            </w:r>
          </w:p>
        </w:tc>
        <w:tc>
          <w:tcPr>
            <w:tcW w:w="133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182.854</w:t>
            </w:r>
          </w:p>
        </w:tc>
      </w:tr>
      <w:tr>
        <w:trPr>
          <w:trHeight w:val="227" w:hRule="atLeast"/>
        </w:trPr>
        <w:tc>
          <w:tcPr>
            <w:tcW w:w="3206" w:type="dxa"/>
            <w:tcBorders/>
          </w:tcPr>
          <w:p>
            <w:pPr>
              <w:pStyle w:val="Normal"/>
              <w:widowControl/>
              <w:suppressAutoHyphens w:val="false"/>
              <w:spacing w:lineRule="auto" w:line="276" w:before="0" w:after="0"/>
              <w:jc w:val="left"/>
              <w:rPr>
                <w:rFonts w:ascii="Calibri" w:hAnsi="Calibri" w:cs="Calibri" w:asciiTheme="minorHAnsi" w:cstheme="minorHAnsi" w:hAnsiTheme="minorHAnsi"/>
                <w:sz w:val="22"/>
                <w:szCs w:val="22"/>
              </w:rPr>
            </w:pPr>
            <w:r>
              <w:rPr>
                <w:rFonts w:eastAsia="Times New Roman" w:cs="Calibri" w:ascii="Calibri" w:hAnsi="Calibri" w:asciiTheme="minorHAnsi" w:cstheme="minorHAnsi" w:hAnsiTheme="minorHAnsi"/>
                <w:kern w:val="0"/>
                <w:sz w:val="22"/>
                <w:szCs w:val="22"/>
                <w:lang w:val="it-IT" w:eastAsia="en-US" w:bidi="ar-SA"/>
              </w:rPr>
              <w:t>SdS Pistoiese</w:t>
            </w:r>
          </w:p>
        </w:tc>
        <w:tc>
          <w:tcPr>
            <w:tcW w:w="954"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919</w:t>
            </w:r>
          </w:p>
        </w:tc>
        <w:tc>
          <w:tcPr>
            <w:tcW w:w="122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782</w:t>
            </w:r>
          </w:p>
        </w:tc>
        <w:tc>
          <w:tcPr>
            <w:tcW w:w="1111"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815</w:t>
            </w:r>
          </w:p>
        </w:tc>
        <w:tc>
          <w:tcPr>
            <w:tcW w:w="133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71.004</w:t>
            </w:r>
          </w:p>
        </w:tc>
      </w:tr>
      <w:tr>
        <w:trPr>
          <w:trHeight w:val="227" w:hRule="atLeast"/>
        </w:trPr>
        <w:tc>
          <w:tcPr>
            <w:tcW w:w="3206" w:type="dxa"/>
            <w:tcBorders/>
          </w:tcPr>
          <w:p>
            <w:pPr>
              <w:pStyle w:val="Normal"/>
              <w:widowControl/>
              <w:suppressAutoHyphens w:val="false"/>
              <w:spacing w:lineRule="auto" w:line="276" w:before="0" w:after="0"/>
              <w:jc w:val="left"/>
              <w:rPr>
                <w:rFonts w:ascii="Calibri" w:hAnsi="Calibri" w:cs="Calibri" w:asciiTheme="minorHAnsi" w:cstheme="minorHAnsi" w:hAnsiTheme="minorHAnsi"/>
                <w:sz w:val="22"/>
                <w:szCs w:val="22"/>
              </w:rPr>
            </w:pPr>
            <w:r>
              <w:rPr>
                <w:rFonts w:eastAsia="Times New Roman" w:cs="Calibri" w:ascii="Calibri" w:hAnsi="Calibri" w:asciiTheme="minorHAnsi" w:cstheme="minorHAnsi" w:hAnsiTheme="minorHAnsi"/>
                <w:kern w:val="0"/>
                <w:sz w:val="22"/>
                <w:szCs w:val="22"/>
                <w:lang w:val="it-IT" w:eastAsia="en-US" w:bidi="ar-SA"/>
              </w:rPr>
              <w:t>SdS Fiorentina Nord-Ovest</w:t>
            </w:r>
          </w:p>
        </w:tc>
        <w:tc>
          <w:tcPr>
            <w:tcW w:w="954"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1.318</w:t>
            </w:r>
          </w:p>
        </w:tc>
        <w:tc>
          <w:tcPr>
            <w:tcW w:w="122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1.686</w:t>
            </w:r>
          </w:p>
        </w:tc>
        <w:tc>
          <w:tcPr>
            <w:tcW w:w="1111"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1.617</w:t>
            </w:r>
          </w:p>
        </w:tc>
        <w:tc>
          <w:tcPr>
            <w:tcW w:w="133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198.368</w:t>
            </w:r>
          </w:p>
        </w:tc>
      </w:tr>
      <w:tr>
        <w:trPr>
          <w:trHeight w:val="227" w:hRule="atLeast"/>
        </w:trPr>
        <w:tc>
          <w:tcPr>
            <w:tcW w:w="3206" w:type="dxa"/>
            <w:tcBorders/>
          </w:tcPr>
          <w:p>
            <w:pPr>
              <w:pStyle w:val="Normal"/>
              <w:widowControl/>
              <w:suppressAutoHyphens w:val="false"/>
              <w:spacing w:lineRule="auto" w:line="276" w:before="0" w:after="0"/>
              <w:jc w:val="left"/>
              <w:rPr>
                <w:rFonts w:ascii="Calibri" w:hAnsi="Calibri" w:cs="Calibri" w:asciiTheme="minorHAnsi" w:cstheme="minorHAnsi" w:hAnsiTheme="minorHAnsi"/>
                <w:sz w:val="22"/>
                <w:szCs w:val="22"/>
              </w:rPr>
            </w:pPr>
            <w:r>
              <w:rPr>
                <w:rFonts w:eastAsia="Times New Roman" w:cs="Calibri" w:ascii="Calibri" w:hAnsi="Calibri" w:asciiTheme="minorHAnsi" w:cstheme="minorHAnsi" w:hAnsiTheme="minorHAnsi"/>
                <w:kern w:val="0"/>
                <w:sz w:val="22"/>
                <w:szCs w:val="22"/>
                <w:lang w:val="it-IT" w:eastAsia="en-US" w:bidi="ar-SA"/>
              </w:rPr>
              <w:t>SdS Fiorentina Sud-Est</w:t>
            </w:r>
          </w:p>
        </w:tc>
        <w:tc>
          <w:tcPr>
            <w:tcW w:w="954"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1.082</w:t>
            </w:r>
          </w:p>
        </w:tc>
        <w:tc>
          <w:tcPr>
            <w:tcW w:w="122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1.356</w:t>
            </w:r>
          </w:p>
        </w:tc>
        <w:tc>
          <w:tcPr>
            <w:tcW w:w="1111"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1.398</w:t>
            </w:r>
          </w:p>
        </w:tc>
        <w:tc>
          <w:tcPr>
            <w:tcW w:w="133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168.498</w:t>
            </w:r>
          </w:p>
        </w:tc>
      </w:tr>
      <w:tr>
        <w:trPr>
          <w:trHeight w:val="227" w:hRule="atLeast"/>
        </w:trPr>
        <w:tc>
          <w:tcPr>
            <w:tcW w:w="3206" w:type="dxa"/>
            <w:tcBorders/>
          </w:tcPr>
          <w:p>
            <w:pPr>
              <w:pStyle w:val="Normal"/>
              <w:widowControl/>
              <w:suppressAutoHyphens w:val="false"/>
              <w:spacing w:lineRule="auto" w:line="276" w:before="0" w:after="0"/>
              <w:jc w:val="left"/>
              <w:rPr>
                <w:rFonts w:ascii="Calibri" w:hAnsi="Calibri" w:cs="Calibri" w:asciiTheme="minorHAnsi" w:cstheme="minorHAnsi" w:hAnsiTheme="minorHAnsi"/>
                <w:sz w:val="22"/>
                <w:szCs w:val="22"/>
              </w:rPr>
            </w:pPr>
            <w:r>
              <w:rPr>
                <w:rFonts w:eastAsia="Times New Roman" w:cs="Calibri" w:ascii="Calibri" w:hAnsi="Calibri" w:asciiTheme="minorHAnsi" w:cstheme="minorHAnsi" w:hAnsiTheme="minorHAnsi"/>
                <w:kern w:val="0"/>
                <w:sz w:val="22"/>
                <w:szCs w:val="22"/>
                <w:lang w:val="it-IT" w:eastAsia="en-US" w:bidi="ar-SA"/>
              </w:rPr>
              <w:t>SdS Mugello</w:t>
            </w:r>
          </w:p>
        </w:tc>
        <w:tc>
          <w:tcPr>
            <w:tcW w:w="954"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506</w:t>
            </w:r>
          </w:p>
        </w:tc>
        <w:tc>
          <w:tcPr>
            <w:tcW w:w="122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578</w:t>
            </w:r>
          </w:p>
        </w:tc>
        <w:tc>
          <w:tcPr>
            <w:tcW w:w="1111"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578</w:t>
            </w:r>
          </w:p>
        </w:tc>
        <w:tc>
          <w:tcPr>
            <w:tcW w:w="133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70.563</w:t>
            </w:r>
          </w:p>
        </w:tc>
      </w:tr>
      <w:tr>
        <w:trPr>
          <w:trHeight w:val="227" w:hRule="atLeast"/>
        </w:trPr>
        <w:tc>
          <w:tcPr>
            <w:tcW w:w="3206" w:type="dxa"/>
            <w:tcBorders/>
          </w:tcPr>
          <w:p>
            <w:pPr>
              <w:pStyle w:val="Normal"/>
              <w:widowControl/>
              <w:suppressAutoHyphens w:val="false"/>
              <w:spacing w:lineRule="auto" w:line="276" w:before="0" w:after="0"/>
              <w:jc w:val="left"/>
              <w:rPr>
                <w:rFonts w:ascii="Calibri" w:hAnsi="Calibri" w:cs="Calibri" w:asciiTheme="minorHAnsi" w:cstheme="minorHAnsi" w:hAnsiTheme="minorHAnsi"/>
                <w:sz w:val="22"/>
                <w:szCs w:val="22"/>
              </w:rPr>
            </w:pPr>
            <w:r>
              <w:rPr>
                <w:rFonts w:eastAsia="Times New Roman" w:cs="Calibri" w:ascii="Calibri" w:hAnsi="Calibri" w:asciiTheme="minorHAnsi" w:cstheme="minorHAnsi" w:hAnsiTheme="minorHAnsi"/>
                <w:kern w:val="0"/>
                <w:sz w:val="22"/>
                <w:szCs w:val="22"/>
                <w:lang w:val="it-IT" w:eastAsia="en-US" w:bidi="ar-SA"/>
              </w:rPr>
              <w:t>SdS Empolese -Valdarno Inferiore</w:t>
            </w:r>
          </w:p>
        </w:tc>
        <w:tc>
          <w:tcPr>
            <w:tcW w:w="954"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1.034</w:t>
            </w:r>
          </w:p>
        </w:tc>
        <w:tc>
          <w:tcPr>
            <w:tcW w:w="122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805</w:t>
            </w:r>
          </w:p>
        </w:tc>
        <w:tc>
          <w:tcPr>
            <w:tcW w:w="1111"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784</w:t>
            </w:r>
          </w:p>
        </w:tc>
        <w:tc>
          <w:tcPr>
            <w:tcW w:w="133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color w:val="000000"/>
                <w:sz w:val="22"/>
                <w:szCs w:val="22"/>
              </w:rPr>
            </w:pPr>
            <w:r>
              <w:rPr>
                <w:rFonts w:eastAsia="Times New Roman" w:cs="Calibri" w:ascii="Calibri" w:hAnsi="Calibri" w:asciiTheme="minorHAnsi" w:cstheme="minorHAnsi" w:hAnsiTheme="minorHAnsi"/>
                <w:color w:val="000000"/>
                <w:kern w:val="0"/>
                <w:sz w:val="22"/>
                <w:szCs w:val="22"/>
                <w:lang w:val="it-IT" w:eastAsia="en-US" w:bidi="ar-SA"/>
              </w:rPr>
              <w:t>186.613</w:t>
            </w:r>
          </w:p>
        </w:tc>
      </w:tr>
      <w:tr>
        <w:trPr>
          <w:trHeight w:val="227" w:hRule="atLeast"/>
        </w:trPr>
        <w:tc>
          <w:tcPr>
            <w:tcW w:w="3206" w:type="dxa"/>
            <w:tcBorders/>
          </w:tcPr>
          <w:p>
            <w:pPr>
              <w:pStyle w:val="Normal"/>
              <w:widowControl/>
              <w:suppressAutoHyphens w:val="false"/>
              <w:spacing w:lineRule="auto" w:line="276" w:before="0" w:after="0"/>
              <w:jc w:val="left"/>
              <w:rPr>
                <w:rFonts w:ascii="Calibri" w:hAnsi="Calibri" w:cs="Calibri" w:asciiTheme="minorHAnsi" w:cstheme="minorHAnsi" w:hAnsiTheme="minorHAnsi"/>
                <w:i/>
                <w:i/>
                <w:iCs/>
                <w:sz w:val="22"/>
                <w:szCs w:val="22"/>
              </w:rPr>
            </w:pPr>
            <w:r>
              <w:rPr>
                <w:rFonts w:eastAsia="Times New Roman" w:cs="Calibri" w:ascii="Calibri" w:hAnsi="Calibri" w:asciiTheme="minorHAnsi" w:cstheme="minorHAnsi" w:hAnsiTheme="minorHAnsi"/>
                <w:i/>
                <w:iCs/>
                <w:kern w:val="0"/>
                <w:sz w:val="22"/>
                <w:szCs w:val="22"/>
                <w:lang w:val="it-IT" w:eastAsia="en-US" w:bidi="ar-SA"/>
              </w:rPr>
              <w:t>Totale AUSL Toscana Centro</w:t>
            </w:r>
          </w:p>
        </w:tc>
        <w:tc>
          <w:tcPr>
            <w:tcW w:w="954" w:type="dxa"/>
            <w:tcBorders/>
          </w:tcPr>
          <w:p>
            <w:pPr>
              <w:pStyle w:val="Normal"/>
              <w:widowControl/>
              <w:suppressAutoHyphens w:val="false"/>
              <w:spacing w:lineRule="auto" w:line="276" w:before="0" w:after="0"/>
              <w:jc w:val="center"/>
              <w:rPr>
                <w:rFonts w:ascii="Calibri" w:hAnsi="Calibri" w:cs="Calibri" w:asciiTheme="minorHAnsi" w:cstheme="minorHAnsi" w:hAnsiTheme="minorHAnsi"/>
                <w:b/>
                <w:b/>
                <w:bCs/>
                <w:i/>
                <w:i/>
                <w:iCs/>
                <w:color w:val="000000"/>
                <w:sz w:val="22"/>
                <w:szCs w:val="22"/>
              </w:rPr>
            </w:pPr>
            <w:r>
              <w:rPr>
                <w:rFonts w:eastAsia="Times New Roman" w:cs="Calibri" w:ascii="Calibri" w:hAnsi="Calibri" w:asciiTheme="minorHAnsi" w:cstheme="minorHAnsi" w:hAnsiTheme="minorHAnsi"/>
                <w:b/>
                <w:bCs/>
                <w:i/>
                <w:iCs/>
                <w:color w:val="000000"/>
                <w:kern w:val="0"/>
                <w:sz w:val="22"/>
                <w:szCs w:val="22"/>
                <w:lang w:val="it-IT" w:eastAsia="en-US" w:bidi="ar-SA"/>
              </w:rPr>
              <w:t>10.934</w:t>
            </w:r>
          </w:p>
        </w:tc>
        <w:tc>
          <w:tcPr>
            <w:tcW w:w="122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b/>
                <w:b/>
                <w:bCs/>
                <w:i/>
                <w:i/>
                <w:iCs/>
                <w:color w:val="000000"/>
                <w:sz w:val="22"/>
                <w:szCs w:val="22"/>
              </w:rPr>
            </w:pPr>
            <w:r>
              <w:rPr>
                <w:rFonts w:eastAsia="Times New Roman" w:cs="Calibri" w:ascii="Calibri" w:hAnsi="Calibri" w:asciiTheme="minorHAnsi" w:cstheme="minorHAnsi" w:hAnsiTheme="minorHAnsi"/>
                <w:b/>
                <w:bCs/>
                <w:i/>
                <w:iCs/>
                <w:color w:val="000000"/>
                <w:kern w:val="0"/>
                <w:sz w:val="22"/>
                <w:szCs w:val="22"/>
                <w:lang w:val="it-IT" w:eastAsia="en-US" w:bidi="ar-SA"/>
              </w:rPr>
              <w:t>11.670</w:t>
            </w:r>
          </w:p>
        </w:tc>
        <w:tc>
          <w:tcPr>
            <w:tcW w:w="1111" w:type="dxa"/>
            <w:tcBorders/>
          </w:tcPr>
          <w:p>
            <w:pPr>
              <w:pStyle w:val="Normal"/>
              <w:widowControl/>
              <w:suppressAutoHyphens w:val="false"/>
              <w:spacing w:lineRule="auto" w:line="276" w:before="0" w:after="0"/>
              <w:jc w:val="center"/>
              <w:rPr>
                <w:rFonts w:ascii="Calibri" w:hAnsi="Calibri" w:cs="Calibri" w:asciiTheme="minorHAnsi" w:cstheme="minorHAnsi" w:hAnsiTheme="minorHAnsi"/>
                <w:b/>
                <w:b/>
                <w:bCs/>
                <w:i/>
                <w:i/>
                <w:iCs/>
                <w:color w:val="000000"/>
                <w:sz w:val="22"/>
                <w:szCs w:val="22"/>
              </w:rPr>
            </w:pPr>
            <w:r>
              <w:rPr>
                <w:rFonts w:eastAsia="Times New Roman" w:cs="Calibri" w:ascii="Calibri" w:hAnsi="Calibri" w:asciiTheme="minorHAnsi" w:cstheme="minorHAnsi" w:hAnsiTheme="minorHAnsi"/>
                <w:b/>
                <w:bCs/>
                <w:i/>
                <w:iCs/>
                <w:color w:val="000000"/>
                <w:kern w:val="0"/>
                <w:sz w:val="22"/>
                <w:szCs w:val="22"/>
                <w:lang w:val="it-IT" w:eastAsia="en-US" w:bidi="ar-SA"/>
              </w:rPr>
              <w:t>11.710</w:t>
            </w:r>
          </w:p>
        </w:tc>
        <w:tc>
          <w:tcPr>
            <w:tcW w:w="1339" w:type="dxa"/>
            <w:tcBorders/>
          </w:tcPr>
          <w:p>
            <w:pPr>
              <w:pStyle w:val="Normal"/>
              <w:widowControl/>
              <w:suppressAutoHyphens w:val="false"/>
              <w:spacing w:lineRule="auto" w:line="276" w:before="0" w:after="0"/>
              <w:jc w:val="center"/>
              <w:rPr>
                <w:rFonts w:ascii="Calibri" w:hAnsi="Calibri" w:cs="Calibri" w:asciiTheme="minorHAnsi" w:cstheme="minorHAnsi" w:hAnsiTheme="minorHAnsi"/>
                <w:b/>
                <w:b/>
                <w:bCs/>
                <w:i/>
                <w:i/>
                <w:iCs/>
                <w:color w:val="000000"/>
                <w:sz w:val="22"/>
                <w:szCs w:val="22"/>
              </w:rPr>
            </w:pPr>
            <w:r>
              <w:rPr>
                <w:rFonts w:eastAsia="Times New Roman" w:cs="Calibri" w:ascii="Calibri" w:hAnsi="Calibri" w:asciiTheme="minorHAnsi" w:cstheme="minorHAnsi" w:hAnsiTheme="minorHAnsi"/>
                <w:b/>
                <w:bCs/>
                <w:i/>
                <w:iCs/>
                <w:color w:val="000000"/>
                <w:kern w:val="0"/>
                <w:sz w:val="22"/>
                <w:szCs w:val="22"/>
                <w:lang w:val="it-IT" w:eastAsia="en-US" w:bidi="ar-SA"/>
              </w:rPr>
              <w:t>1.624.192</w:t>
            </w:r>
          </w:p>
        </w:tc>
      </w:tr>
    </w:tbl>
    <w:p>
      <w:pPr>
        <w:pStyle w:val="NormalWeb"/>
        <w:spacing w:before="280" w:after="280"/>
        <w:rPr>
          <w:rFonts w:ascii="Calibri" w:hAnsi="Calibri" w:cs="Calibri" w:asciiTheme="minorHAnsi" w:cstheme="minorHAnsi" w:hAnsiTheme="minorHAnsi"/>
          <w:color w:val="auto"/>
          <w:szCs w:val="22"/>
          <w:lang w:eastAsia="en-US"/>
        </w:rPr>
      </w:pPr>
      <w:r>
        <w:rPr>
          <w:rFonts w:cs="Calibri" w:ascii="Calibri" w:hAnsi="Calibri" w:asciiTheme="minorHAnsi" w:cstheme="minorHAnsi" w:hAnsiTheme="minorHAnsi"/>
          <w:color w:val="auto"/>
          <w:szCs w:val="22"/>
          <w:lang w:eastAsia="en-US"/>
        </w:rPr>
        <w:t>(fonte: archivio regionale AD-RSA Rfc 115 Rfc 118 – estrazione Infoview del 13/06/2023, tab.52.03)</w:t>
      </w:r>
    </w:p>
    <w:p>
      <w:pPr>
        <w:pStyle w:val="Normal"/>
        <w:shd w:val="clear" w:color="auto" w:fill="FDFDFD"/>
        <w:suppressAutoHyphens w:val="false"/>
        <w:spacing w:lineRule="atLeast" w:line="276" w:beforeAutospacing="1" w:afterAutospacing="1"/>
        <w:ind w:left="284" w:hanging="0"/>
        <w:jc w:val="both"/>
        <w:rPr>
          <w:rFonts w:ascii="Calibri" w:hAnsi="Calibri" w:cs="Calibri" w:asciiTheme="minorHAnsi" w:cstheme="minorHAnsi" w:hAnsiTheme="minorHAnsi"/>
          <w:b/>
          <w:b/>
          <w:color w:val="000000"/>
          <w:sz w:val="22"/>
          <w:szCs w:val="22"/>
          <w:lang w:eastAsia="en-US"/>
        </w:rPr>
      </w:pPr>
      <w:r>
        <w:rPr>
          <w:rFonts w:cs="Calibri" w:ascii="Calibri" w:hAnsi="Calibri" w:asciiTheme="minorHAnsi" w:cstheme="minorHAnsi" w:hAnsiTheme="minorHAnsi"/>
          <w:b/>
          <w:color w:val="000000"/>
          <w:sz w:val="22"/>
          <w:szCs w:val="22"/>
          <w:lang w:eastAsia="en-US"/>
        </w:rPr>
        <w:t>d)    Ulteriori progettualità attivate sul territorio</w:t>
      </w:r>
    </w:p>
    <w:p>
      <w:pPr>
        <w:pStyle w:val="Normal"/>
        <w:shd w:val="clear" w:color="auto" w:fill="FDFDFD"/>
        <w:suppressAutoHyphens w:val="false"/>
        <w:spacing w:lineRule="auto" w:line="360" w:beforeAutospacing="1" w:afterAutospacing="1"/>
        <w:jc w:val="both"/>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La presa in carico della persona anziana non autosufficiente prevede, oltre a quanto sopra descritto, ulteriori progettualità, azioni e prestazioni (Centro di riferimento per i Disturbi Cognitivi e le Demenze, Progetti Demenze/Alzheimer, Progetto regionale gravissime disabilità, Progetto Pronto Badante, Progetto Home Care Premium, Progetto invecchiamento attivo/AFA).</w:t>
      </w:r>
    </w:p>
    <w:p>
      <w:pPr>
        <w:pStyle w:val="NormalWeb"/>
        <w:spacing w:lineRule="auto" w:line="276" w:before="280" w:after="280"/>
        <w:rPr>
          <w:rFonts w:ascii="Calibri" w:hAnsi="Calibri" w:cs="Calibri" w:asciiTheme="minorHAnsi" w:cstheme="minorHAnsi" w:hAnsiTheme="minorHAnsi"/>
          <w:color w:val="auto"/>
          <w:szCs w:val="22"/>
          <w:lang w:eastAsia="en-US"/>
        </w:rPr>
      </w:pPr>
      <w:r>
        <w:rPr>
          <w:rFonts w:cs="Calibri" w:ascii="Calibri" w:hAnsi="Calibri" w:asciiTheme="minorHAnsi" w:cstheme="minorHAnsi" w:hAnsiTheme="minorHAnsi"/>
          <w:sz w:val="22"/>
          <w:szCs w:val="22"/>
        </w:rPr>
        <w:t>L’indicatore della griglia LEA 9.19, che va a misurare i</w:t>
      </w:r>
      <w:r>
        <w:rPr>
          <w:rStyle w:val="Enfasi"/>
          <w:rFonts w:cs="Calibri" w:ascii="Calibri" w:hAnsi="Calibri" w:asciiTheme="minorHAnsi" w:cstheme="minorHAnsi" w:hAnsiTheme="minorHAnsi"/>
          <w:sz w:val="22"/>
          <w:szCs w:val="22"/>
        </w:rPr>
        <w:t>l “numero di posti equivalenti per assistenza agli anziani ≥ 65 anni in strutture residenziali per 1.000 anziani residenti”,</w:t>
      </w:r>
      <w:r>
        <w:rPr>
          <w:rFonts w:cs="Calibri" w:ascii="Calibri" w:hAnsi="Calibri" w:asciiTheme="minorHAnsi" w:cstheme="minorHAnsi" w:hAnsiTheme="minorHAnsi"/>
          <w:sz w:val="22"/>
          <w:szCs w:val="22"/>
        </w:rPr>
        <w:t xml:space="preserve"> raggiunge nel 2022, il valore di 11,25 per l’Azienda Usl Toscana Centro, superando il valore di soglia minimo ministeriale previsto del 9,8.  (fonte: archivio regionale AD-RSA Rfc 115 Rfc 118 – estrazione Infoview del </w:t>
      </w:r>
      <w:r>
        <w:rPr>
          <w:rStyle w:val="Object"/>
          <w:rFonts w:cs="Calibri" w:ascii="Calibri" w:hAnsi="Calibri" w:asciiTheme="minorHAnsi" w:cstheme="minorHAnsi" w:hAnsiTheme="minorHAnsi"/>
          <w:sz w:val="22"/>
          <w:szCs w:val="22"/>
        </w:rPr>
        <w:t>13/06/2023</w:t>
      </w:r>
      <w:r>
        <w:rPr>
          <w:rFonts w:cs="Calibri" w:ascii="Calibri" w:hAnsi="Calibri" w:asciiTheme="minorHAnsi" w:cstheme="minorHAnsi" w:hAnsiTheme="minorHAnsi"/>
          <w:sz w:val="22"/>
          <w:szCs w:val="22"/>
        </w:rPr>
        <w:t>, tab.FAR05 -LEA E.9.1)</w:t>
        <w:br/>
        <w:t xml:space="preserve">L'indicatore D33Z (NSG – Nuovo Sistema di Garanzia), invece, misura il </w:t>
      </w:r>
      <w:r>
        <w:rPr>
          <w:rStyle w:val="Enfasi"/>
          <w:rFonts w:cs="Calibri" w:ascii="Calibri" w:hAnsi="Calibri" w:asciiTheme="minorHAnsi" w:cstheme="minorHAnsi" w:hAnsiTheme="minorHAnsi"/>
          <w:sz w:val="22"/>
          <w:szCs w:val="22"/>
        </w:rPr>
        <w:t>“numero di assistiti residenti di età &gt;75 aa presenti nelle strutture residenziali, distinte per tipologia di trattamento (R1, R2, R3,) ogni 1.000 abitanti"</w:t>
      </w:r>
      <w:r>
        <w:rPr>
          <w:rFonts w:cs="Calibri" w:ascii="Calibri" w:hAnsi="Calibri" w:asciiTheme="minorHAnsi" w:cstheme="minorHAnsi" w:hAnsiTheme="minorHAnsi"/>
          <w:sz w:val="22"/>
          <w:szCs w:val="22"/>
        </w:rPr>
        <w:t xml:space="preserve">; per l’anno 2022 il valore dell’indicatore è 39,97 (punteggio sufficiente &gt;24,6-punteggio massimo &gt;41 - fonte: archivio regionale AD-RSA Rfc 115 Rfc 118 – estrazione Infoview del </w:t>
      </w:r>
      <w:r>
        <w:rPr>
          <w:rStyle w:val="Object"/>
          <w:rFonts w:cs="Calibri" w:ascii="Calibri" w:hAnsi="Calibri" w:asciiTheme="minorHAnsi" w:cstheme="minorHAnsi" w:hAnsiTheme="minorHAnsi"/>
          <w:sz w:val="22"/>
          <w:szCs w:val="22"/>
        </w:rPr>
        <w:t>13/06/2023</w:t>
      </w:r>
      <w:r>
        <w:rPr>
          <w:rFonts w:cs="Calibri" w:ascii="Calibri" w:hAnsi="Calibri" w:asciiTheme="minorHAnsi" w:cstheme="minorHAnsi" w:hAnsiTheme="minorHAnsi"/>
          <w:sz w:val="22"/>
          <w:szCs w:val="22"/>
        </w:rPr>
        <w:t>, tab.D33Z).</w:t>
      </w:r>
    </w:p>
    <w:p>
      <w:pPr>
        <w:pStyle w:val="Normal"/>
        <w:spacing w:lineRule="auto" w:line="276"/>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La deliberazione dell’Azienda Usl Toscana Centro n. 1786 del 19/12/2019 “</w:t>
      </w:r>
      <w:r>
        <w:rPr>
          <w:rFonts w:cs="Calibri" w:ascii="Calibri" w:hAnsi="Calibri" w:asciiTheme="minorHAnsi" w:cstheme="minorHAnsi" w:hAnsiTheme="minorHAnsi"/>
          <w:i/>
          <w:sz w:val="22"/>
          <w:szCs w:val="22"/>
        </w:rPr>
        <w:t>Pianificazione strategica dei posti letto di Cure Intermedie e RSA e ripartizione moduli specialistici</w:t>
      </w:r>
      <w:r>
        <w:rPr>
          <w:rFonts w:cs="Calibri" w:ascii="Calibri" w:hAnsi="Calibri" w:asciiTheme="minorHAnsi" w:cstheme="minorHAnsi" w:hAnsiTheme="minorHAnsi"/>
          <w:sz w:val="22"/>
          <w:szCs w:val="22"/>
        </w:rPr>
        <w:t xml:space="preserve">” individua l’offerta complessiva dell’Azienda Usl Toscana Centro da raggiungere nel triennio 2020-2023 per poter migliorare il livello dei servizi per le persone anziane non autosufficienti. La programmazione del successivo triennio è in corso di elaborazione (Tabella 27). </w:t>
      </w:r>
    </w:p>
    <w:p>
      <w:pPr>
        <w:pStyle w:val="Normal"/>
        <w:suppressAutoHyphens w:val="false"/>
        <w:rPr>
          <w:rFonts w:ascii="Calibri" w:hAnsi="Calibri" w:cs="Calibri" w:asciiTheme="minorHAnsi" w:cstheme="minorHAnsi" w:hAnsiTheme="minorHAnsi"/>
          <w:sz w:val="22"/>
          <w:szCs w:val="22"/>
        </w:rPr>
      </w:pPr>
      <w:r>
        <w:rPr>
          <w:rFonts w:cs="Calibri" w:cstheme="minorHAnsi" w:ascii="Calibri" w:hAnsi="Calibri"/>
          <w:sz w:val="22"/>
          <w:szCs w:val="22"/>
        </w:rPr>
      </w:r>
      <w:r>
        <w:br w:type="page"/>
      </w:r>
    </w:p>
    <w:p>
      <w:pPr>
        <w:pStyle w:val="Normal"/>
        <w:spacing w:lineRule="auto" w:line="276"/>
        <w:jc w:val="both"/>
        <w:rPr>
          <w:rFonts w:ascii="Calibri" w:hAnsi="Calibri" w:cs="Calibri" w:asciiTheme="minorHAnsi" w:cstheme="minorHAnsi" w:hAnsiTheme="minorHAnsi"/>
          <w:b/>
          <w:b/>
          <w:sz w:val="22"/>
          <w:szCs w:val="22"/>
        </w:rPr>
      </w:pPr>
      <w:r>
        <w:rPr>
          <w:rFonts w:cs="Calibri" w:ascii="Calibri" w:hAnsi="Calibri" w:asciiTheme="minorHAnsi" w:cstheme="minorHAnsi" w:hAnsiTheme="minorHAnsi"/>
          <w:b/>
          <w:sz w:val="22"/>
          <w:szCs w:val="22"/>
        </w:rPr>
        <w:t>Tabella 27. Fabbisogno triennio 2020-2023, AUSL TC</w:t>
      </w:r>
    </w:p>
    <w:tbl>
      <w:tblPr>
        <w:tblStyle w:val="Tabellagriglia1chiara-colore5"/>
        <w:tblpPr w:bottomFromText="0" w:horzAnchor="margin" w:leftFromText="141" w:rightFromText="141" w:tblpX="0" w:tblpXSpec="center" w:tblpY="186" w:topFromText="0" w:vertAnchor="text"/>
        <w:tblW w:w="9642" w:type="dxa"/>
        <w:jc w:val="center"/>
        <w:tblInd w:w="0" w:type="dxa"/>
        <w:tblLayout w:type="fixed"/>
        <w:tblCellMar>
          <w:top w:w="0" w:type="dxa"/>
          <w:left w:w="108" w:type="dxa"/>
          <w:bottom w:w="0" w:type="dxa"/>
          <w:right w:w="108" w:type="dxa"/>
        </w:tblCellMar>
        <w:tblLook w:firstRow="1" w:noVBand="0" w:lastRow="0" w:firstColumn="1" w:lastColumn="0" w:noHBand="0" w:val="00a0"/>
      </w:tblPr>
      <w:tblGrid>
        <w:gridCol w:w="3124"/>
        <w:gridCol w:w="793"/>
        <w:gridCol w:w="710"/>
        <w:gridCol w:w="982"/>
        <w:gridCol w:w="804"/>
        <w:gridCol w:w="747"/>
        <w:gridCol w:w="954"/>
        <w:gridCol w:w="943"/>
        <w:gridCol w:w="584"/>
      </w:tblGrid>
      <w:tr>
        <w:trPr>
          <w:trHeight w:val="977" w:hRule="atLeast"/>
          <w:cnfStyle w:val="100000000000" w:firstRow="1" w:lastRow="0" w:firstColumn="0" w:lastColumn="0" w:oddVBand="0" w:evenVBand="0" w:oddHBand="0" w:evenHBand="0" w:firstRowFirstColumn="0" w:firstRowLastColumn="0" w:lastRowFirstColumn="0" w:lastRowLastColumn="0"/>
        </w:trPr>
        <w:tc>
          <w:tcPr>
            <w:tcW w:w="3124" w:type="dxa"/>
            <w:cnfStyle w:val="001000000000" w:firstRow="0" w:lastRow="0" w:firstColumn="1" w:lastColumn="0" w:oddVBand="0" w:evenVBand="0" w:oddHBand="0" w:evenHBand="0" w:firstRowFirstColumn="0" w:firstRowLastColumn="0" w:lastRowFirstColumn="0" w:lastRowLastColumn="0"/>
            <w:tcBorders>
              <w:bottom w:val="single" w:sz="12" w:space="0" w:color="92CDDC"/>
            </w:tcBorders>
            <w:vAlign w:val="center"/>
          </w:tcPr>
          <w:p>
            <w:pPr>
              <w:pStyle w:val="Normal"/>
              <w:widowControl/>
              <w:suppressAutoHyphens w:val="false"/>
              <w:spacing w:before="0" w:after="0"/>
              <w:jc w:val="center"/>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 xml:space="preserve">FABBISOGNO TRIENNIO </w:t>
            </w:r>
          </w:p>
          <w:p>
            <w:pPr>
              <w:pStyle w:val="Normal"/>
              <w:widowControl/>
              <w:suppressAutoHyphens w:val="false"/>
              <w:spacing w:before="0" w:after="0"/>
              <w:jc w:val="center"/>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2020-2023</w:t>
            </w:r>
          </w:p>
          <w:p>
            <w:pPr>
              <w:pStyle w:val="Normal"/>
              <w:widowControl/>
              <w:suppressAutoHyphens w:val="false"/>
              <w:spacing w:before="0" w:after="0"/>
              <w:jc w:val="center"/>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Del. ASL TC 1786/2019</w:t>
            </w:r>
          </w:p>
        </w:tc>
        <w:tc>
          <w:tcPr>
            <w:tcW w:w="793" w:type="dxa"/>
            <w:tcBorders>
              <w:bottom w:val="single" w:sz="12" w:space="0" w:color="92CDDC"/>
            </w:tcBorders>
            <w:vAlign w:val="center"/>
          </w:tcPr>
          <w:p>
            <w:pPr>
              <w:pStyle w:val="Normal"/>
              <w:widowControl/>
              <w:suppressAutoHyphens w:val="fals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SdS</w:t>
            </w:r>
          </w:p>
          <w:p>
            <w:pPr>
              <w:pStyle w:val="Normal"/>
              <w:widowControl/>
              <w:suppressAutoHyphens w:val="fals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Firenze</w:t>
            </w:r>
          </w:p>
        </w:tc>
        <w:tc>
          <w:tcPr>
            <w:tcW w:w="710" w:type="dxa"/>
            <w:tcBorders>
              <w:bottom w:val="single" w:sz="12" w:space="0" w:color="92CDDC"/>
            </w:tcBorders>
            <w:vAlign w:val="center"/>
          </w:tcPr>
          <w:p>
            <w:pPr>
              <w:pStyle w:val="Normal"/>
              <w:widowControl/>
              <w:suppressAutoHyphens w:val="fals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 xml:space="preserve">ZD </w:t>
            </w:r>
          </w:p>
          <w:p>
            <w:pPr>
              <w:pStyle w:val="Normal"/>
              <w:widowControl/>
              <w:suppressAutoHyphens w:val="fals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Sud Est</w:t>
            </w:r>
          </w:p>
        </w:tc>
        <w:tc>
          <w:tcPr>
            <w:tcW w:w="982" w:type="dxa"/>
            <w:tcBorders>
              <w:bottom w:val="single" w:sz="12" w:space="0" w:color="92CDDC"/>
            </w:tcBorders>
            <w:vAlign w:val="center"/>
          </w:tcPr>
          <w:p>
            <w:pPr>
              <w:pStyle w:val="Normal"/>
              <w:widowControl/>
              <w:suppressAutoHyphens w:val="fals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SdS</w:t>
            </w:r>
          </w:p>
          <w:p>
            <w:pPr>
              <w:pStyle w:val="Normal"/>
              <w:widowControl/>
              <w:suppressAutoHyphens w:val="fals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Nord Ovest</w:t>
            </w:r>
          </w:p>
        </w:tc>
        <w:tc>
          <w:tcPr>
            <w:tcW w:w="804" w:type="dxa"/>
            <w:tcBorders>
              <w:bottom w:val="single" w:sz="12" w:space="0" w:color="92CDDC"/>
            </w:tcBorders>
            <w:vAlign w:val="center"/>
          </w:tcPr>
          <w:p>
            <w:pPr>
              <w:pStyle w:val="Normal"/>
              <w:widowControl/>
              <w:suppressAutoHyphens w:val="fals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SdS</w:t>
            </w:r>
          </w:p>
          <w:p>
            <w:pPr>
              <w:pStyle w:val="Normal"/>
              <w:widowControl/>
              <w:suppressAutoHyphens w:val="fals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Mugello</w:t>
            </w:r>
          </w:p>
        </w:tc>
        <w:tc>
          <w:tcPr>
            <w:tcW w:w="747" w:type="dxa"/>
            <w:tcBorders>
              <w:bottom w:val="single" w:sz="12" w:space="0" w:color="92CDDC"/>
            </w:tcBorders>
            <w:vAlign w:val="center"/>
          </w:tcPr>
          <w:p>
            <w:pPr>
              <w:pStyle w:val="Normal"/>
              <w:widowControl/>
              <w:suppressAutoHyphens w:val="fals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SdS</w:t>
            </w:r>
          </w:p>
          <w:p>
            <w:pPr>
              <w:pStyle w:val="Normal"/>
              <w:widowControl/>
              <w:suppressAutoHyphens w:val="fals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Pratese</w:t>
            </w:r>
          </w:p>
        </w:tc>
        <w:tc>
          <w:tcPr>
            <w:tcW w:w="954" w:type="dxa"/>
            <w:tcBorders>
              <w:bottom w:val="single" w:sz="12" w:space="0" w:color="92CDDC"/>
            </w:tcBorders>
            <w:vAlign w:val="center"/>
          </w:tcPr>
          <w:p>
            <w:pPr>
              <w:pStyle w:val="Normal"/>
              <w:widowControl/>
              <w:suppressAutoHyphens w:val="fals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SdS</w:t>
            </w:r>
          </w:p>
          <w:p>
            <w:pPr>
              <w:pStyle w:val="Normal"/>
              <w:widowControl/>
              <w:suppressAutoHyphens w:val="fals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Valdinievole</w:t>
            </w:r>
          </w:p>
        </w:tc>
        <w:tc>
          <w:tcPr>
            <w:tcW w:w="943" w:type="dxa"/>
            <w:tcBorders>
              <w:bottom w:val="single" w:sz="12" w:space="0" w:color="92CDDC"/>
            </w:tcBorders>
            <w:vAlign w:val="center"/>
          </w:tcPr>
          <w:p>
            <w:pPr>
              <w:pStyle w:val="Normal"/>
              <w:widowControl/>
              <w:suppressAutoHyphens w:val="fals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SdS</w:t>
            </w:r>
          </w:p>
          <w:p>
            <w:pPr>
              <w:pStyle w:val="Normal"/>
              <w:widowControl/>
              <w:suppressAutoHyphens w:val="fals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Pistoiese</w:t>
            </w:r>
          </w:p>
        </w:tc>
        <w:tc>
          <w:tcPr>
            <w:tcW w:w="584" w:type="dxa"/>
            <w:tcBorders>
              <w:bottom w:val="single" w:sz="12" w:space="0" w:color="92CDDC"/>
            </w:tcBorders>
            <w:vAlign w:val="center"/>
          </w:tcPr>
          <w:p>
            <w:pPr>
              <w:pStyle w:val="Normal"/>
              <w:widowControl/>
              <w:suppressAutoHyphens w:val="fals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cstheme="minorHAnsi" w:ascii="Calibri" w:hAnsi="Calibri"/>
                <w:b/>
                <w:bCs/>
                <w:color w:val="000000" w:themeColor="text1"/>
                <w:kern w:val="0"/>
                <w:sz w:val="22"/>
                <w:szCs w:val="22"/>
                <w:lang w:val="it-IT" w:eastAsia="it-IT" w:bidi="ar-SA"/>
              </w:rPr>
            </w:r>
          </w:p>
          <w:p>
            <w:pPr>
              <w:pStyle w:val="Normal"/>
              <w:widowControl/>
              <w:suppressAutoHyphens w:val="fals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SdS</w:t>
            </w:r>
          </w:p>
          <w:p>
            <w:pPr>
              <w:pStyle w:val="Normal"/>
              <w:widowControl/>
              <w:suppressAutoHyphens w:val="fals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EVV</w:t>
            </w:r>
          </w:p>
          <w:p>
            <w:pPr>
              <w:pStyle w:val="Normal"/>
              <w:widowControl/>
              <w:suppressAutoHyphens w:val="false"/>
              <w:spacing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000000" w:themeColor="text1"/>
                <w:sz w:val="22"/>
                <w:szCs w:val="22"/>
              </w:rPr>
            </w:pPr>
            <w:r>
              <w:rPr>
                <w:rFonts w:eastAsia="Times New Roman" w:cs="Calibri" w:cstheme="minorHAnsi" w:ascii="Calibri" w:hAnsi="Calibri"/>
                <w:b/>
                <w:bCs/>
                <w:color w:val="000000" w:themeColor="text1"/>
                <w:kern w:val="0"/>
                <w:sz w:val="22"/>
                <w:szCs w:val="22"/>
                <w:lang w:val="it-IT" w:eastAsia="it-IT" w:bidi="ar-SA"/>
              </w:rPr>
            </w:r>
          </w:p>
        </w:tc>
      </w:tr>
      <w:tr>
        <w:trPr/>
        <w:tc>
          <w:tcPr>
            <w:tcW w:w="3124"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uppressAutoHyphens w:val="false"/>
              <w:spacing w:before="0" w:after="0"/>
              <w:jc w:val="left"/>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Modulo disabilità di natura motoria</w:t>
            </w:r>
          </w:p>
        </w:tc>
        <w:tc>
          <w:tcPr>
            <w:tcW w:w="793"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16</w:t>
            </w:r>
          </w:p>
        </w:tc>
        <w:tc>
          <w:tcPr>
            <w:tcW w:w="710"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6</w:t>
            </w:r>
          </w:p>
        </w:tc>
        <w:tc>
          <w:tcPr>
            <w:tcW w:w="982"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6</w:t>
            </w:r>
          </w:p>
        </w:tc>
        <w:tc>
          <w:tcPr>
            <w:tcW w:w="80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2</w:t>
            </w:r>
          </w:p>
        </w:tc>
        <w:tc>
          <w:tcPr>
            <w:tcW w:w="747"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12</w:t>
            </w:r>
          </w:p>
        </w:tc>
        <w:tc>
          <w:tcPr>
            <w:tcW w:w="95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4</w:t>
            </w:r>
          </w:p>
        </w:tc>
        <w:tc>
          <w:tcPr>
            <w:tcW w:w="943"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10</w:t>
            </w:r>
          </w:p>
        </w:tc>
        <w:tc>
          <w:tcPr>
            <w:tcW w:w="58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30</w:t>
            </w:r>
          </w:p>
        </w:tc>
      </w:tr>
      <w:tr>
        <w:trPr/>
        <w:tc>
          <w:tcPr>
            <w:tcW w:w="3124"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uppressAutoHyphens w:val="false"/>
              <w:spacing w:before="0" w:after="0"/>
              <w:jc w:val="left"/>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Modulo disabilità di natura cognitivo comportamentale</w:t>
            </w:r>
          </w:p>
        </w:tc>
        <w:tc>
          <w:tcPr>
            <w:tcW w:w="793"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136</w:t>
            </w:r>
          </w:p>
        </w:tc>
        <w:tc>
          <w:tcPr>
            <w:tcW w:w="710"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62</w:t>
            </w:r>
          </w:p>
        </w:tc>
        <w:tc>
          <w:tcPr>
            <w:tcW w:w="982"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40</w:t>
            </w:r>
          </w:p>
        </w:tc>
        <w:tc>
          <w:tcPr>
            <w:tcW w:w="80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13</w:t>
            </w:r>
          </w:p>
        </w:tc>
        <w:tc>
          <w:tcPr>
            <w:tcW w:w="747"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20</w:t>
            </w:r>
          </w:p>
        </w:tc>
        <w:tc>
          <w:tcPr>
            <w:tcW w:w="95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10</w:t>
            </w:r>
          </w:p>
        </w:tc>
        <w:tc>
          <w:tcPr>
            <w:tcW w:w="943"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20</w:t>
            </w:r>
          </w:p>
        </w:tc>
        <w:tc>
          <w:tcPr>
            <w:tcW w:w="58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56</w:t>
            </w:r>
          </w:p>
        </w:tc>
      </w:tr>
      <w:tr>
        <w:trPr/>
        <w:tc>
          <w:tcPr>
            <w:tcW w:w="3124"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uppressAutoHyphens w:val="false"/>
              <w:spacing w:before="0" w:after="0"/>
              <w:jc w:val="left"/>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Modulo stati vegetativi persistenti</w:t>
            </w:r>
          </w:p>
        </w:tc>
        <w:tc>
          <w:tcPr>
            <w:tcW w:w="793"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20</w:t>
            </w:r>
          </w:p>
        </w:tc>
        <w:tc>
          <w:tcPr>
            <w:tcW w:w="710"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4</w:t>
            </w:r>
          </w:p>
        </w:tc>
        <w:tc>
          <w:tcPr>
            <w:tcW w:w="982"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4</w:t>
            </w:r>
          </w:p>
        </w:tc>
        <w:tc>
          <w:tcPr>
            <w:tcW w:w="80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0</w:t>
            </w:r>
          </w:p>
        </w:tc>
        <w:tc>
          <w:tcPr>
            <w:tcW w:w="747"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10</w:t>
            </w:r>
          </w:p>
        </w:tc>
        <w:tc>
          <w:tcPr>
            <w:tcW w:w="95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3</w:t>
            </w:r>
          </w:p>
        </w:tc>
        <w:tc>
          <w:tcPr>
            <w:tcW w:w="943"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14</w:t>
            </w:r>
          </w:p>
        </w:tc>
        <w:tc>
          <w:tcPr>
            <w:tcW w:w="58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4</w:t>
            </w:r>
          </w:p>
        </w:tc>
      </w:tr>
      <w:tr>
        <w:trPr/>
        <w:tc>
          <w:tcPr>
            <w:tcW w:w="3124"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uppressAutoHyphens w:val="false"/>
              <w:spacing w:before="0" w:after="0"/>
              <w:jc w:val="left"/>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Modulo BIA</w:t>
            </w:r>
          </w:p>
        </w:tc>
        <w:tc>
          <w:tcPr>
            <w:tcW w:w="793"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80</w:t>
            </w:r>
          </w:p>
        </w:tc>
        <w:tc>
          <w:tcPr>
            <w:tcW w:w="710"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10</w:t>
            </w:r>
          </w:p>
        </w:tc>
        <w:tc>
          <w:tcPr>
            <w:tcW w:w="982"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20</w:t>
            </w:r>
          </w:p>
        </w:tc>
        <w:tc>
          <w:tcPr>
            <w:tcW w:w="80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10</w:t>
            </w:r>
          </w:p>
        </w:tc>
        <w:tc>
          <w:tcPr>
            <w:tcW w:w="747"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20</w:t>
            </w:r>
          </w:p>
        </w:tc>
        <w:tc>
          <w:tcPr>
            <w:tcW w:w="95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10</w:t>
            </w:r>
          </w:p>
        </w:tc>
        <w:tc>
          <w:tcPr>
            <w:tcW w:w="943"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44</w:t>
            </w:r>
          </w:p>
        </w:tc>
        <w:tc>
          <w:tcPr>
            <w:tcW w:w="58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15</w:t>
            </w:r>
          </w:p>
        </w:tc>
      </w:tr>
      <w:tr>
        <w:trPr/>
        <w:tc>
          <w:tcPr>
            <w:tcW w:w="3124"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uppressAutoHyphens w:val="false"/>
              <w:spacing w:before="0" w:after="0"/>
              <w:jc w:val="left"/>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Centro diurno base</w:t>
            </w:r>
          </w:p>
        </w:tc>
        <w:tc>
          <w:tcPr>
            <w:tcW w:w="793"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140</w:t>
            </w:r>
          </w:p>
        </w:tc>
        <w:tc>
          <w:tcPr>
            <w:tcW w:w="710"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114</w:t>
            </w:r>
          </w:p>
        </w:tc>
        <w:tc>
          <w:tcPr>
            <w:tcW w:w="982"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65</w:t>
            </w:r>
          </w:p>
        </w:tc>
        <w:tc>
          <w:tcPr>
            <w:tcW w:w="80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22</w:t>
            </w:r>
          </w:p>
        </w:tc>
        <w:tc>
          <w:tcPr>
            <w:tcW w:w="747"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100</w:t>
            </w:r>
          </w:p>
        </w:tc>
        <w:tc>
          <w:tcPr>
            <w:tcW w:w="95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40</w:t>
            </w:r>
          </w:p>
        </w:tc>
        <w:tc>
          <w:tcPr>
            <w:tcW w:w="943"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63</w:t>
            </w:r>
          </w:p>
        </w:tc>
        <w:tc>
          <w:tcPr>
            <w:tcW w:w="58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106</w:t>
            </w:r>
          </w:p>
        </w:tc>
      </w:tr>
      <w:tr>
        <w:trPr/>
        <w:tc>
          <w:tcPr>
            <w:tcW w:w="3124"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uppressAutoHyphens w:val="false"/>
              <w:spacing w:before="0" w:after="0"/>
              <w:jc w:val="left"/>
              <w:rPr>
                <w:rFonts w:ascii="Calibri" w:hAnsi="Calibri" w:cs="Calibri" w:asciiTheme="minorHAnsi" w:cstheme="minorHAnsi" w:hAnsiTheme="minorHAnsi"/>
                <w:b w:val="false"/>
                <w:b w:val="false"/>
                <w:bCs w:val="false"/>
                <w:color w:val="000000" w:themeColor="text1"/>
                <w:sz w:val="22"/>
                <w:szCs w:val="22"/>
              </w:rPr>
            </w:pPr>
            <w:r>
              <w:rPr>
                <w:rFonts w:eastAsia="Times New Roman" w:cs="Calibri" w:ascii="Calibri" w:hAnsi="Calibri" w:asciiTheme="minorHAnsi" w:cstheme="minorHAnsi" w:hAnsiTheme="minorHAnsi"/>
                <w:b/>
                <w:bCs/>
                <w:color w:val="000000" w:themeColor="text1"/>
                <w:kern w:val="0"/>
                <w:sz w:val="22"/>
                <w:szCs w:val="22"/>
                <w:lang w:val="it-IT" w:eastAsia="it-IT" w:bidi="ar-SA"/>
              </w:rPr>
              <w:t>Centro Diurno cognitivo comportamentale</w:t>
            </w:r>
          </w:p>
        </w:tc>
        <w:tc>
          <w:tcPr>
            <w:tcW w:w="793"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80</w:t>
            </w:r>
          </w:p>
        </w:tc>
        <w:tc>
          <w:tcPr>
            <w:tcW w:w="710"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15</w:t>
            </w:r>
          </w:p>
        </w:tc>
        <w:tc>
          <w:tcPr>
            <w:tcW w:w="982"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15</w:t>
            </w:r>
          </w:p>
        </w:tc>
        <w:tc>
          <w:tcPr>
            <w:tcW w:w="80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5</w:t>
            </w:r>
          </w:p>
        </w:tc>
        <w:tc>
          <w:tcPr>
            <w:tcW w:w="747"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16</w:t>
            </w:r>
          </w:p>
        </w:tc>
        <w:tc>
          <w:tcPr>
            <w:tcW w:w="95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10</w:t>
            </w:r>
          </w:p>
        </w:tc>
        <w:tc>
          <w:tcPr>
            <w:tcW w:w="943"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14</w:t>
            </w:r>
          </w:p>
        </w:tc>
        <w:tc>
          <w:tcPr>
            <w:tcW w:w="584" w:type="dxa"/>
            <w:tcBorders/>
            <w:vAlign w:val="center"/>
          </w:tcPr>
          <w:p>
            <w:pPr>
              <w:pStyle w:val="Normal"/>
              <w:widowControl/>
              <w:suppressAutoHyphens w:val="false"/>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Cs/>
                <w:color w:val="000000" w:themeColor="text1"/>
                <w:sz w:val="22"/>
                <w:szCs w:val="22"/>
              </w:rPr>
            </w:pPr>
            <w:r>
              <w:rPr>
                <w:rFonts w:eastAsia="Times New Roman" w:cs="Calibri" w:ascii="Calibri" w:hAnsi="Calibri" w:asciiTheme="minorHAnsi" w:cstheme="minorHAnsi" w:hAnsiTheme="minorHAnsi"/>
                <w:bCs/>
                <w:color w:val="000000" w:themeColor="text1"/>
                <w:kern w:val="0"/>
                <w:sz w:val="22"/>
                <w:szCs w:val="22"/>
                <w:lang w:val="it-IT" w:eastAsia="it-IT" w:bidi="ar-SA"/>
              </w:rPr>
              <w:t>14</w:t>
            </w:r>
          </w:p>
        </w:tc>
      </w:tr>
    </w:tbl>
    <w:p>
      <w:pPr>
        <w:pStyle w:val="Titolo2"/>
        <w:spacing w:lineRule="atLeast" w:line="320" w:before="0" w:after="120"/>
        <w:jc w:val="both"/>
        <w:rPr>
          <w:rFonts w:ascii="Calibri" w:hAnsi="Calibri" w:cs="Calibri"/>
          <w:i w:val="false"/>
          <w:i w:val="false"/>
          <w:iCs w:val="false"/>
          <w:sz w:val="22"/>
          <w:szCs w:val="22"/>
        </w:rPr>
      </w:pPr>
      <w:r>
        <w:rPr>
          <w:rFonts w:cs="Calibri" w:ascii="Calibri" w:hAnsi="Calibri"/>
          <w:i w:val="false"/>
          <w:iCs w:val="false"/>
          <w:sz w:val="22"/>
          <w:szCs w:val="22"/>
        </w:rPr>
      </w:r>
      <w:bookmarkStart w:id="35" w:name="_Toc40088926"/>
      <w:bookmarkStart w:id="36" w:name="_Toc40088926"/>
      <w:bookmarkEnd w:id="36"/>
    </w:p>
    <w:p>
      <w:pPr>
        <w:pStyle w:val="Titolo2"/>
        <w:spacing w:lineRule="atLeast" w:line="320" w:before="0" w:after="120"/>
        <w:jc w:val="both"/>
        <w:rPr>
          <w:rFonts w:ascii="Calibri" w:hAnsi="Calibri" w:cs="Calibri"/>
          <w:i w:val="false"/>
          <w:i w:val="false"/>
          <w:iCs w:val="false"/>
          <w:sz w:val="22"/>
          <w:szCs w:val="22"/>
        </w:rPr>
      </w:pPr>
      <w:bookmarkStart w:id="37" w:name="_Toc152228355"/>
      <w:r>
        <w:rPr>
          <w:rFonts w:cs="Calibri" w:ascii="Calibri" w:hAnsi="Calibri"/>
          <w:i w:val="false"/>
          <w:iCs w:val="false"/>
          <w:sz w:val="22"/>
          <w:szCs w:val="22"/>
        </w:rPr>
        <w:t>2.4.11 ASSISTENZA FINE VITA</w:t>
      </w:r>
      <w:bookmarkEnd w:id="37"/>
      <w:r>
        <w:rPr>
          <w:rFonts w:cs="Calibri" w:ascii="Calibri" w:hAnsi="Calibri"/>
          <w:i w:val="false"/>
          <w:iCs w:val="false"/>
          <w:sz w:val="22"/>
          <w:szCs w:val="22"/>
        </w:rPr>
        <w:t xml:space="preserve"> </w:t>
      </w:r>
    </w:p>
    <w:p>
      <w:pPr>
        <w:pStyle w:val="Normal"/>
        <w:spacing w:lineRule="atLeast" w:line="320" w:before="0" w:after="120"/>
        <w:jc w:val="both"/>
        <w:rPr>
          <w:rFonts w:ascii="Calibri" w:hAnsi="Calibri" w:cs="Calibri"/>
          <w:sz w:val="22"/>
          <w:szCs w:val="22"/>
        </w:rPr>
      </w:pPr>
      <w:r>
        <w:rPr>
          <w:rFonts w:cs="Calibri" w:ascii="Calibri" w:hAnsi="Calibri"/>
          <w:sz w:val="22"/>
          <w:szCs w:val="22"/>
        </w:rPr>
        <w:t>Nel 2022 gli Hospice hanno registrato un volume di attività maggiore rispetto al 2021 di circa il 20% e anche l’assistenza domiciliare palliativa è cresciuta con una presa in carico di oltre 200 pazienti rispetto all’anno precedente (Tabelle 28 e 29).</w:t>
      </w:r>
    </w:p>
    <w:p>
      <w:pPr>
        <w:pStyle w:val="Normal"/>
        <w:rPr>
          <w:rFonts w:ascii="Calibri" w:hAnsi="Calibri" w:cs="Calibri"/>
          <w:b/>
          <w:b/>
          <w:sz w:val="22"/>
        </w:rPr>
      </w:pPr>
      <w:r>
        <w:rPr>
          <w:rFonts w:cs="Calibri" w:ascii="Calibri" w:hAnsi="Calibri"/>
          <w:b/>
          <w:sz w:val="22"/>
        </w:rPr>
        <w:t>Tabella 28. Attività dell’Hospice nell’AUSL Toscana Centro, anno 2022</w:t>
      </w:r>
    </w:p>
    <w:tbl>
      <w:tblPr>
        <w:tblStyle w:val="Tabellagriglia4-colore51"/>
        <w:tblW w:w="6232" w:type="dxa"/>
        <w:jc w:val="left"/>
        <w:tblInd w:w="0" w:type="dxa"/>
        <w:tblLayout w:type="fixed"/>
        <w:tblCellMar>
          <w:top w:w="0" w:type="dxa"/>
          <w:left w:w="108" w:type="dxa"/>
          <w:bottom w:w="0" w:type="dxa"/>
          <w:right w:w="108" w:type="dxa"/>
        </w:tblCellMar>
        <w:tblLook w:firstRow="1" w:noVBand="0" w:lastRow="0" w:firstColumn="1" w:lastColumn="0" w:noHBand="0" w:val="00a0"/>
      </w:tblPr>
      <w:tblGrid>
        <w:gridCol w:w="2899"/>
        <w:gridCol w:w="1020"/>
        <w:gridCol w:w="1037"/>
        <w:gridCol w:w="1275"/>
      </w:tblGrid>
      <w:tr>
        <w:trPr>
          <w:trHeight w:val="600" w:hRule="atLeast"/>
        </w:trPr>
        <w:tc>
          <w:tcPr>
            <w:tcW w:w="2899" w:type="dxa"/>
            <w:tcBorders/>
            <w:vAlign w:val="center"/>
          </w:tcPr>
          <w:p>
            <w:pPr>
              <w:pStyle w:val="Normal"/>
              <w:widowControl/>
              <w:suppressAutoHyphens w:val="false"/>
              <w:spacing w:before="0" w:after="0"/>
              <w:jc w:val="center"/>
              <w:rPr>
                <w:rFonts w:cs="Calibri"/>
                <w:b/>
                <w:b/>
                <w:bCs/>
                <w:color w:val="000000"/>
              </w:rPr>
            </w:pPr>
            <w:r>
              <w:rPr>
                <w:rFonts w:eastAsia="Times New Roman" w:cs="Calibri" w:ascii="Calibri" w:hAnsi="Calibri"/>
                <w:b/>
                <w:bCs/>
                <w:color w:val="000000"/>
                <w:kern w:val="0"/>
                <w:sz w:val="22"/>
                <w:szCs w:val="22"/>
                <w:lang w:val="it-IT" w:eastAsia="en-US" w:bidi="ar-SA"/>
              </w:rPr>
              <w:t>Struttura</w:t>
            </w:r>
          </w:p>
        </w:tc>
        <w:tc>
          <w:tcPr>
            <w:tcW w:w="1020" w:type="dxa"/>
            <w:tcBorders/>
            <w:vAlign w:val="center"/>
          </w:tcPr>
          <w:p>
            <w:pPr>
              <w:pStyle w:val="Normal"/>
              <w:widowControl/>
              <w:suppressAutoHyphens w:val="false"/>
              <w:spacing w:before="0" w:after="0"/>
              <w:jc w:val="center"/>
              <w:rPr>
                <w:rFonts w:cs="Calibri"/>
                <w:b/>
                <w:b/>
                <w:bCs/>
                <w:color w:val="000000"/>
              </w:rPr>
            </w:pPr>
            <w:r>
              <w:rPr>
                <w:rFonts w:eastAsia="Times New Roman" w:cs="Calibri" w:ascii="Calibri" w:hAnsi="Calibri"/>
                <w:b/>
                <w:bCs/>
                <w:color w:val="000000"/>
                <w:kern w:val="0"/>
                <w:sz w:val="22"/>
                <w:szCs w:val="22"/>
                <w:lang w:val="it-IT" w:eastAsia="en-US" w:bidi="ar-SA"/>
              </w:rPr>
              <w:t>Pazienti</w:t>
            </w:r>
          </w:p>
        </w:tc>
        <w:tc>
          <w:tcPr>
            <w:tcW w:w="1037" w:type="dxa"/>
            <w:tcBorders/>
            <w:vAlign w:val="center"/>
          </w:tcPr>
          <w:p>
            <w:pPr>
              <w:pStyle w:val="Normal"/>
              <w:widowControl/>
              <w:suppressAutoHyphens w:val="false"/>
              <w:spacing w:before="0" w:after="0"/>
              <w:jc w:val="center"/>
              <w:rPr>
                <w:rFonts w:cs="Calibri"/>
                <w:b/>
                <w:b/>
                <w:bCs/>
                <w:color w:val="000000"/>
              </w:rPr>
            </w:pPr>
            <w:r>
              <w:rPr>
                <w:rFonts w:eastAsia="Times New Roman" w:cs="Calibri" w:ascii="Calibri" w:hAnsi="Calibri"/>
                <w:b/>
                <w:bCs/>
                <w:color w:val="000000"/>
                <w:kern w:val="0"/>
                <w:sz w:val="22"/>
                <w:szCs w:val="22"/>
                <w:lang w:val="it-IT" w:eastAsia="en-US" w:bidi="ar-SA"/>
              </w:rPr>
              <w:t>Dimessi</w:t>
            </w:r>
          </w:p>
        </w:tc>
        <w:tc>
          <w:tcPr>
            <w:tcW w:w="1275" w:type="dxa"/>
            <w:tcBorders/>
            <w:vAlign w:val="center"/>
          </w:tcPr>
          <w:p>
            <w:pPr>
              <w:pStyle w:val="Normal"/>
              <w:widowControl/>
              <w:suppressAutoHyphens w:val="false"/>
              <w:spacing w:before="0" w:after="0"/>
              <w:jc w:val="center"/>
              <w:rPr>
                <w:rFonts w:cs="Calibri"/>
                <w:b/>
                <w:b/>
                <w:bCs/>
                <w:color w:val="000000"/>
              </w:rPr>
            </w:pPr>
            <w:r>
              <w:rPr>
                <w:rFonts w:eastAsia="Times New Roman" w:cs="Calibri" w:ascii="Calibri" w:hAnsi="Calibri"/>
                <w:b/>
                <w:bCs/>
                <w:color w:val="000000"/>
                <w:kern w:val="0"/>
                <w:sz w:val="22"/>
                <w:szCs w:val="22"/>
                <w:lang w:val="it-IT" w:eastAsia="en-US" w:bidi="ar-SA"/>
              </w:rPr>
              <w:t>Day</w:t>
            </w:r>
          </w:p>
          <w:p>
            <w:pPr>
              <w:pStyle w:val="Normal"/>
              <w:widowControl/>
              <w:suppressAutoHyphens w:val="false"/>
              <w:spacing w:before="0" w:after="0"/>
              <w:jc w:val="center"/>
              <w:rPr>
                <w:rFonts w:cs="Calibri"/>
                <w:b/>
                <w:b/>
                <w:bCs/>
                <w:color w:val="000000"/>
              </w:rPr>
            </w:pPr>
            <w:r>
              <w:rPr>
                <w:rFonts w:eastAsia="Times New Roman" w:cs="Calibri" w:ascii="Calibri" w:hAnsi="Calibri"/>
                <w:b/>
                <w:bCs/>
                <w:color w:val="000000"/>
                <w:kern w:val="0"/>
                <w:sz w:val="22"/>
                <w:szCs w:val="22"/>
                <w:lang w:val="it-IT" w:eastAsia="en-US" w:bidi="ar-SA"/>
              </w:rPr>
              <w:t xml:space="preserve"> </w:t>
            </w:r>
            <w:r>
              <w:rPr>
                <w:rFonts w:eastAsia="Times New Roman" w:cs="Calibri" w:ascii="Calibri" w:hAnsi="Calibri"/>
                <w:b/>
                <w:bCs/>
                <w:color w:val="000000"/>
                <w:kern w:val="0"/>
                <w:sz w:val="22"/>
                <w:szCs w:val="22"/>
                <w:lang w:val="it-IT" w:eastAsia="en-US" w:bidi="ar-SA"/>
              </w:rPr>
              <w:t>Hospice</w:t>
            </w:r>
          </w:p>
        </w:tc>
      </w:tr>
      <w:tr>
        <w:trPr>
          <w:trHeight w:val="300" w:hRule="atLeast"/>
        </w:trPr>
        <w:tc>
          <w:tcPr>
            <w:tcW w:w="2899" w:type="dxa"/>
            <w:tcBorders/>
          </w:tcPr>
          <w:p>
            <w:pPr>
              <w:pStyle w:val="Normal"/>
              <w:widowControl/>
              <w:suppressAutoHyphens w:val="false"/>
              <w:spacing w:before="0" w:after="0"/>
              <w:jc w:val="left"/>
              <w:rPr>
                <w:rFonts w:cs="Calibri"/>
                <w:b/>
                <w:b/>
                <w:bCs/>
                <w:color w:val="000000"/>
              </w:rPr>
            </w:pPr>
            <w:r>
              <w:rPr>
                <w:rFonts w:eastAsia="Times New Roman" w:cs="Calibri" w:ascii="Calibri" w:hAnsi="Calibri"/>
                <w:b/>
                <w:bCs/>
                <w:color w:val="000000"/>
                <w:kern w:val="0"/>
                <w:sz w:val="22"/>
                <w:szCs w:val="22"/>
                <w:lang w:val="it-IT" w:eastAsia="en-US" w:bidi="ar-SA"/>
              </w:rPr>
              <w:t>FI Oblate</w:t>
            </w:r>
          </w:p>
        </w:tc>
        <w:tc>
          <w:tcPr>
            <w:tcW w:w="1020"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249</w:t>
            </w:r>
          </w:p>
        </w:tc>
        <w:tc>
          <w:tcPr>
            <w:tcW w:w="1037"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0</w:t>
            </w:r>
          </w:p>
        </w:tc>
        <w:tc>
          <w:tcPr>
            <w:tcW w:w="1275"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2</w:t>
            </w:r>
          </w:p>
        </w:tc>
      </w:tr>
      <w:tr>
        <w:trPr>
          <w:trHeight w:val="300" w:hRule="atLeast"/>
        </w:trPr>
        <w:tc>
          <w:tcPr>
            <w:tcW w:w="2899" w:type="dxa"/>
            <w:tcBorders/>
          </w:tcPr>
          <w:p>
            <w:pPr>
              <w:pStyle w:val="Normal"/>
              <w:widowControl/>
              <w:suppressAutoHyphens w:val="false"/>
              <w:spacing w:before="0" w:after="0"/>
              <w:jc w:val="left"/>
              <w:rPr>
                <w:rFonts w:cs="Calibri"/>
                <w:b/>
                <w:b/>
                <w:bCs/>
                <w:color w:val="000000"/>
              </w:rPr>
            </w:pPr>
            <w:r>
              <w:rPr>
                <w:rFonts w:eastAsia="Times New Roman" w:cs="Calibri" w:ascii="Calibri" w:hAnsi="Calibri"/>
                <w:b/>
                <w:bCs/>
                <w:color w:val="000000"/>
                <w:kern w:val="0"/>
                <w:sz w:val="22"/>
                <w:szCs w:val="22"/>
                <w:lang w:val="it-IT" w:eastAsia="en-US" w:bidi="ar-SA"/>
              </w:rPr>
              <w:t>FI S. Felice a Ema</w:t>
            </w:r>
          </w:p>
        </w:tc>
        <w:tc>
          <w:tcPr>
            <w:tcW w:w="1020"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203</w:t>
            </w:r>
          </w:p>
        </w:tc>
        <w:tc>
          <w:tcPr>
            <w:tcW w:w="1037"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6</w:t>
            </w:r>
          </w:p>
        </w:tc>
        <w:tc>
          <w:tcPr>
            <w:tcW w:w="1275"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1</w:t>
            </w:r>
          </w:p>
        </w:tc>
      </w:tr>
      <w:tr>
        <w:trPr>
          <w:trHeight w:val="300" w:hRule="atLeast"/>
        </w:trPr>
        <w:tc>
          <w:tcPr>
            <w:tcW w:w="2899" w:type="dxa"/>
            <w:tcBorders/>
          </w:tcPr>
          <w:p>
            <w:pPr>
              <w:pStyle w:val="Normal"/>
              <w:widowControl/>
              <w:suppressAutoHyphens w:val="false"/>
              <w:spacing w:before="0" w:after="0"/>
              <w:jc w:val="left"/>
              <w:rPr>
                <w:rFonts w:cs="Calibri"/>
                <w:b/>
                <w:b/>
                <w:bCs/>
                <w:color w:val="000000"/>
              </w:rPr>
            </w:pPr>
            <w:r>
              <w:rPr>
                <w:rFonts w:eastAsia="Times New Roman" w:cs="Calibri" w:ascii="Calibri" w:hAnsi="Calibri"/>
                <w:b/>
                <w:bCs/>
                <w:color w:val="000000"/>
                <w:kern w:val="0"/>
                <w:sz w:val="22"/>
                <w:szCs w:val="22"/>
                <w:lang w:val="it-IT" w:eastAsia="en-US" w:bidi="ar-SA"/>
              </w:rPr>
              <w:t>Empoli S. Martino</w:t>
            </w:r>
          </w:p>
        </w:tc>
        <w:tc>
          <w:tcPr>
            <w:tcW w:w="1020"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243</w:t>
            </w:r>
          </w:p>
        </w:tc>
        <w:tc>
          <w:tcPr>
            <w:tcW w:w="1037"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3</w:t>
            </w:r>
          </w:p>
        </w:tc>
        <w:tc>
          <w:tcPr>
            <w:tcW w:w="1275"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1</w:t>
            </w:r>
          </w:p>
        </w:tc>
      </w:tr>
      <w:tr>
        <w:trPr>
          <w:trHeight w:val="300" w:hRule="atLeast"/>
        </w:trPr>
        <w:tc>
          <w:tcPr>
            <w:tcW w:w="2899" w:type="dxa"/>
            <w:tcBorders/>
          </w:tcPr>
          <w:p>
            <w:pPr>
              <w:pStyle w:val="Normal"/>
              <w:widowControl/>
              <w:suppressAutoHyphens w:val="false"/>
              <w:spacing w:before="0" w:after="0"/>
              <w:jc w:val="left"/>
              <w:rPr>
                <w:rFonts w:cs="Calibri"/>
                <w:b/>
                <w:b/>
                <w:bCs/>
                <w:color w:val="000000"/>
              </w:rPr>
            </w:pPr>
            <w:r>
              <w:rPr>
                <w:rFonts w:eastAsia="Times New Roman" w:cs="Calibri" w:ascii="Calibri" w:hAnsi="Calibri"/>
                <w:b/>
                <w:bCs/>
                <w:color w:val="000000"/>
                <w:kern w:val="0"/>
                <w:sz w:val="22"/>
                <w:szCs w:val="22"/>
                <w:lang w:val="it-IT" w:eastAsia="en-US" w:bidi="ar-SA"/>
              </w:rPr>
              <w:t>PO Fiore di Primavera</w:t>
            </w:r>
          </w:p>
        </w:tc>
        <w:tc>
          <w:tcPr>
            <w:tcW w:w="1020"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298</w:t>
            </w:r>
          </w:p>
        </w:tc>
        <w:tc>
          <w:tcPr>
            <w:tcW w:w="1037"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3</w:t>
            </w:r>
          </w:p>
        </w:tc>
        <w:tc>
          <w:tcPr>
            <w:tcW w:w="1275"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44</w:t>
            </w:r>
          </w:p>
        </w:tc>
      </w:tr>
      <w:tr>
        <w:trPr>
          <w:trHeight w:val="300" w:hRule="atLeast"/>
        </w:trPr>
        <w:tc>
          <w:tcPr>
            <w:tcW w:w="2899" w:type="dxa"/>
            <w:tcBorders/>
          </w:tcPr>
          <w:p>
            <w:pPr>
              <w:pStyle w:val="Normal"/>
              <w:widowControl/>
              <w:suppressAutoHyphens w:val="false"/>
              <w:spacing w:before="0" w:after="0"/>
              <w:jc w:val="left"/>
              <w:rPr>
                <w:rFonts w:cs="Calibri"/>
                <w:b/>
                <w:b/>
                <w:bCs/>
                <w:color w:val="000000"/>
              </w:rPr>
            </w:pPr>
            <w:r>
              <w:rPr>
                <w:rFonts w:eastAsia="Times New Roman" w:cs="Calibri" w:ascii="Calibri" w:hAnsi="Calibri"/>
                <w:b/>
                <w:bCs/>
                <w:color w:val="000000"/>
                <w:kern w:val="0"/>
                <w:sz w:val="22"/>
                <w:szCs w:val="22"/>
                <w:lang w:val="it-IT" w:eastAsia="en-US" w:bidi="ar-SA"/>
              </w:rPr>
              <w:t>PT Spicchio</w:t>
            </w:r>
          </w:p>
        </w:tc>
        <w:tc>
          <w:tcPr>
            <w:tcW w:w="1020"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206</w:t>
            </w:r>
          </w:p>
        </w:tc>
        <w:tc>
          <w:tcPr>
            <w:tcW w:w="1037"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7</w:t>
            </w:r>
          </w:p>
        </w:tc>
        <w:tc>
          <w:tcPr>
            <w:tcW w:w="1275"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11</w:t>
            </w:r>
          </w:p>
        </w:tc>
      </w:tr>
      <w:tr>
        <w:trPr>
          <w:trHeight w:val="300" w:hRule="atLeast"/>
        </w:trPr>
        <w:tc>
          <w:tcPr>
            <w:tcW w:w="2899" w:type="dxa"/>
            <w:tcBorders/>
          </w:tcPr>
          <w:p>
            <w:pPr>
              <w:pStyle w:val="Normal"/>
              <w:widowControl/>
              <w:suppressAutoHyphens w:val="false"/>
              <w:spacing w:before="0" w:after="0"/>
              <w:jc w:val="left"/>
              <w:rPr>
                <w:rFonts w:cs="Calibri"/>
                <w:b/>
                <w:b/>
                <w:bCs/>
                <w:color w:val="000000"/>
              </w:rPr>
            </w:pPr>
            <w:r>
              <w:rPr>
                <w:rFonts w:eastAsia="Times New Roman" w:cs="Calibri" w:ascii="Calibri" w:hAnsi="Calibri"/>
                <w:b/>
                <w:bCs/>
                <w:color w:val="000000"/>
                <w:kern w:val="0"/>
                <w:lang w:val="it-IT" w:eastAsia="en-US" w:bidi="ar-SA"/>
              </w:rPr>
              <w:t>Totale</w:t>
            </w:r>
          </w:p>
        </w:tc>
        <w:tc>
          <w:tcPr>
            <w:tcW w:w="1020"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1199</w:t>
            </w:r>
          </w:p>
        </w:tc>
        <w:tc>
          <w:tcPr>
            <w:tcW w:w="1037"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19</w:t>
            </w:r>
          </w:p>
        </w:tc>
        <w:tc>
          <w:tcPr>
            <w:tcW w:w="1275"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lang w:val="it-IT" w:eastAsia="en-US" w:bidi="ar-SA"/>
              </w:rPr>
              <w:t>59</w:t>
            </w:r>
          </w:p>
        </w:tc>
      </w:tr>
    </w:tbl>
    <w:p>
      <w:pPr>
        <w:pStyle w:val="Normal"/>
        <w:rPr>
          <w:rFonts w:ascii="Calibri" w:hAnsi="Calibri" w:cs="Calibri"/>
          <w:color w:val="000000"/>
          <w:sz w:val="18"/>
          <w:szCs w:val="18"/>
          <w:lang w:eastAsia="en-US"/>
        </w:rPr>
      </w:pPr>
      <w:r>
        <w:rPr>
          <w:rFonts w:cs="Calibri" w:ascii="Calibri" w:hAnsi="Calibri"/>
          <w:sz w:val="16"/>
          <w:szCs w:val="18"/>
        </w:rPr>
        <w:t xml:space="preserve">Fonte: Flusso RFC 191. </w:t>
      </w:r>
      <w:r>
        <w:rPr>
          <w:rFonts w:cs="Calibri" w:ascii="Calibri" w:hAnsi="Calibri"/>
          <w:color w:val="000000"/>
          <w:sz w:val="16"/>
          <w:szCs w:val="18"/>
          <w:lang w:eastAsia="en-US"/>
        </w:rPr>
        <w:t>Nota: pazienti dimessi sono tornati a domicilio o trasferiti in RSA.</w:t>
      </w:r>
    </w:p>
    <w:p>
      <w:pPr>
        <w:pStyle w:val="Normal"/>
        <w:rPr>
          <w:rFonts w:ascii="Calibri" w:hAnsi="Calibri" w:cs="Calibri"/>
          <w:b/>
          <w:b/>
          <w:sz w:val="22"/>
        </w:rPr>
      </w:pPr>
      <w:r>
        <w:rPr>
          <w:rFonts w:cs="Calibri" w:ascii="Calibri" w:hAnsi="Calibri"/>
          <w:b/>
          <w:sz w:val="22"/>
        </w:rPr>
      </w:r>
    </w:p>
    <w:p>
      <w:pPr>
        <w:pStyle w:val="Normal"/>
        <w:rPr>
          <w:rFonts w:ascii="Calibri" w:hAnsi="Calibri" w:cs="Calibri"/>
          <w:b/>
          <w:b/>
          <w:sz w:val="22"/>
        </w:rPr>
      </w:pPr>
      <w:r>
        <w:rPr>
          <w:rFonts w:cs="Calibri" w:ascii="Calibri" w:hAnsi="Calibri"/>
          <w:b/>
          <w:sz w:val="22"/>
        </w:rPr>
        <w:t>Tabella 29. Attività domiciliare nell’AUSL Toscana Centro, anno 2022</w:t>
      </w:r>
    </w:p>
    <w:tbl>
      <w:tblPr>
        <w:tblStyle w:val="Tabellagriglia4-colore51"/>
        <w:tblW w:w="4253" w:type="dxa"/>
        <w:jc w:val="left"/>
        <w:tblInd w:w="0" w:type="dxa"/>
        <w:tblLayout w:type="fixed"/>
        <w:tblCellMar>
          <w:top w:w="0" w:type="dxa"/>
          <w:left w:w="108" w:type="dxa"/>
          <w:bottom w:w="0" w:type="dxa"/>
          <w:right w:w="108" w:type="dxa"/>
        </w:tblCellMar>
        <w:tblLook w:firstRow="1" w:noVBand="0" w:lastRow="0" w:firstColumn="1" w:lastColumn="0" w:noHBand="0" w:val="00a0"/>
      </w:tblPr>
      <w:tblGrid>
        <w:gridCol w:w="2900"/>
        <w:gridCol w:w="1352"/>
      </w:tblGrid>
      <w:tr>
        <w:trPr>
          <w:trHeight w:val="600" w:hRule="atLeast"/>
        </w:trPr>
        <w:tc>
          <w:tcPr>
            <w:tcW w:w="2900" w:type="dxa"/>
            <w:tcBorders/>
          </w:tcPr>
          <w:p>
            <w:pPr>
              <w:pStyle w:val="Normal"/>
              <w:widowControl/>
              <w:suppressAutoHyphens w:val="false"/>
              <w:spacing w:before="0" w:after="0"/>
              <w:jc w:val="center"/>
              <w:rPr>
                <w:rFonts w:cs="Calibri"/>
                <w:b/>
                <w:b/>
                <w:bCs/>
                <w:color w:val="000000"/>
              </w:rPr>
            </w:pPr>
            <w:r>
              <w:rPr>
                <w:rFonts w:eastAsia="Times New Roman" w:cs="Calibri" w:ascii="Calibri" w:hAnsi="Calibri"/>
                <w:b/>
                <w:bCs/>
                <w:color w:val="000000"/>
                <w:kern w:val="0"/>
                <w:sz w:val="22"/>
                <w:szCs w:val="22"/>
                <w:lang w:val="it-IT" w:eastAsia="en-US" w:bidi="ar-SA"/>
              </w:rPr>
              <w:t>Zona territoriale</w:t>
            </w:r>
          </w:p>
        </w:tc>
        <w:tc>
          <w:tcPr>
            <w:tcW w:w="1352" w:type="dxa"/>
            <w:tcBorders/>
          </w:tcPr>
          <w:p>
            <w:pPr>
              <w:pStyle w:val="Normal"/>
              <w:widowControl/>
              <w:suppressAutoHyphens w:val="false"/>
              <w:spacing w:before="0" w:after="0"/>
              <w:jc w:val="center"/>
              <w:rPr>
                <w:rFonts w:cs="Calibri"/>
                <w:b/>
                <w:b/>
                <w:bCs/>
                <w:color w:val="000000"/>
              </w:rPr>
            </w:pPr>
            <w:r>
              <w:rPr>
                <w:rFonts w:eastAsia="Times New Roman" w:cs="Calibri" w:ascii="Calibri" w:hAnsi="Calibri"/>
                <w:b/>
                <w:bCs/>
                <w:color w:val="000000"/>
                <w:kern w:val="0"/>
                <w:sz w:val="22"/>
                <w:szCs w:val="22"/>
                <w:lang w:val="it-IT" w:eastAsia="en-US" w:bidi="ar-SA"/>
              </w:rPr>
              <w:t>Pz assistiti *</w:t>
            </w:r>
          </w:p>
        </w:tc>
      </w:tr>
      <w:tr>
        <w:trPr>
          <w:trHeight w:val="300" w:hRule="atLeast"/>
        </w:trPr>
        <w:tc>
          <w:tcPr>
            <w:tcW w:w="2900" w:type="dxa"/>
            <w:tcBorders/>
          </w:tcPr>
          <w:p>
            <w:pPr>
              <w:pStyle w:val="Normal"/>
              <w:widowControl/>
              <w:suppressAutoHyphens w:val="false"/>
              <w:spacing w:before="0" w:after="0"/>
              <w:jc w:val="left"/>
              <w:rPr>
                <w:rFonts w:cs="Calibri"/>
                <w:b/>
                <w:b/>
                <w:bCs/>
                <w:color w:val="000000"/>
              </w:rPr>
            </w:pPr>
            <w:r>
              <w:rPr>
                <w:rFonts w:eastAsia="Times New Roman" w:cs="Calibri" w:ascii="Calibri" w:hAnsi="Calibri"/>
                <w:b/>
                <w:bCs/>
                <w:color w:val="000000"/>
                <w:kern w:val="0"/>
                <w:sz w:val="22"/>
                <w:szCs w:val="22"/>
                <w:lang w:val="it-IT" w:eastAsia="en-US" w:bidi="ar-SA"/>
              </w:rPr>
              <w:t>Empolese/Valdelsa/Valdarno</w:t>
            </w:r>
          </w:p>
        </w:tc>
        <w:tc>
          <w:tcPr>
            <w:tcW w:w="1352"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614</w:t>
            </w:r>
          </w:p>
        </w:tc>
      </w:tr>
      <w:tr>
        <w:trPr>
          <w:trHeight w:val="300" w:hRule="atLeast"/>
        </w:trPr>
        <w:tc>
          <w:tcPr>
            <w:tcW w:w="2900" w:type="dxa"/>
            <w:tcBorders/>
          </w:tcPr>
          <w:p>
            <w:pPr>
              <w:pStyle w:val="Normal"/>
              <w:widowControl/>
              <w:suppressAutoHyphens w:val="false"/>
              <w:spacing w:before="0" w:after="0"/>
              <w:jc w:val="left"/>
              <w:rPr>
                <w:rFonts w:cs="Calibri"/>
                <w:b/>
                <w:b/>
                <w:bCs/>
                <w:color w:val="000000"/>
              </w:rPr>
            </w:pPr>
            <w:r>
              <w:rPr>
                <w:rFonts w:eastAsia="Times New Roman" w:cs="Calibri" w:ascii="Calibri" w:hAnsi="Calibri"/>
                <w:b/>
                <w:bCs/>
                <w:color w:val="000000"/>
                <w:kern w:val="0"/>
                <w:sz w:val="22"/>
                <w:szCs w:val="22"/>
                <w:lang w:val="it-IT" w:eastAsia="en-US" w:bidi="ar-SA"/>
              </w:rPr>
              <w:t>Firenze</w:t>
            </w:r>
          </w:p>
        </w:tc>
        <w:tc>
          <w:tcPr>
            <w:tcW w:w="1352"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909</w:t>
            </w:r>
          </w:p>
        </w:tc>
      </w:tr>
      <w:tr>
        <w:trPr>
          <w:trHeight w:val="300" w:hRule="atLeast"/>
        </w:trPr>
        <w:tc>
          <w:tcPr>
            <w:tcW w:w="2900" w:type="dxa"/>
            <w:tcBorders/>
          </w:tcPr>
          <w:p>
            <w:pPr>
              <w:pStyle w:val="Normal"/>
              <w:widowControl/>
              <w:suppressAutoHyphens w:val="false"/>
              <w:spacing w:before="0" w:after="0"/>
              <w:jc w:val="left"/>
              <w:rPr>
                <w:rFonts w:cs="Calibri"/>
                <w:b/>
                <w:b/>
                <w:bCs/>
                <w:color w:val="000000"/>
              </w:rPr>
            </w:pPr>
            <w:r>
              <w:rPr>
                <w:rFonts w:eastAsia="Times New Roman" w:cs="Calibri" w:ascii="Calibri" w:hAnsi="Calibri"/>
                <w:b/>
                <w:bCs/>
                <w:color w:val="000000"/>
                <w:kern w:val="0"/>
                <w:sz w:val="22"/>
                <w:szCs w:val="22"/>
                <w:lang w:val="it-IT" w:eastAsia="en-US" w:bidi="ar-SA"/>
              </w:rPr>
              <w:t>Mugello</w:t>
            </w:r>
          </w:p>
        </w:tc>
        <w:tc>
          <w:tcPr>
            <w:tcW w:w="1352"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118</w:t>
            </w:r>
          </w:p>
        </w:tc>
      </w:tr>
      <w:tr>
        <w:trPr>
          <w:trHeight w:val="300" w:hRule="atLeast"/>
        </w:trPr>
        <w:tc>
          <w:tcPr>
            <w:tcW w:w="2900" w:type="dxa"/>
            <w:tcBorders/>
          </w:tcPr>
          <w:p>
            <w:pPr>
              <w:pStyle w:val="Normal"/>
              <w:widowControl/>
              <w:suppressAutoHyphens w:val="false"/>
              <w:spacing w:before="0" w:after="0"/>
              <w:jc w:val="left"/>
              <w:rPr>
                <w:rFonts w:cs="Calibri"/>
                <w:b/>
                <w:b/>
                <w:bCs/>
                <w:color w:val="000000"/>
              </w:rPr>
            </w:pPr>
            <w:r>
              <w:rPr>
                <w:rFonts w:eastAsia="Times New Roman" w:cs="Calibri" w:ascii="Calibri" w:hAnsi="Calibri"/>
                <w:b/>
                <w:bCs/>
                <w:color w:val="000000"/>
                <w:kern w:val="0"/>
                <w:sz w:val="22"/>
                <w:szCs w:val="22"/>
                <w:lang w:val="it-IT" w:eastAsia="en-US" w:bidi="ar-SA"/>
              </w:rPr>
              <w:t>Nord-Ovest</w:t>
            </w:r>
          </w:p>
        </w:tc>
        <w:tc>
          <w:tcPr>
            <w:tcW w:w="1352"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259</w:t>
            </w:r>
          </w:p>
        </w:tc>
      </w:tr>
      <w:tr>
        <w:trPr>
          <w:trHeight w:val="300" w:hRule="atLeast"/>
        </w:trPr>
        <w:tc>
          <w:tcPr>
            <w:tcW w:w="2900" w:type="dxa"/>
            <w:tcBorders/>
          </w:tcPr>
          <w:p>
            <w:pPr>
              <w:pStyle w:val="Normal"/>
              <w:widowControl/>
              <w:suppressAutoHyphens w:val="false"/>
              <w:spacing w:before="0" w:after="0"/>
              <w:jc w:val="left"/>
              <w:rPr>
                <w:rFonts w:cs="Calibri"/>
                <w:b/>
                <w:b/>
                <w:bCs/>
                <w:color w:val="000000"/>
              </w:rPr>
            </w:pPr>
            <w:r>
              <w:rPr>
                <w:rFonts w:eastAsia="Times New Roman" w:cs="Calibri" w:ascii="Calibri" w:hAnsi="Calibri"/>
                <w:b/>
                <w:bCs/>
                <w:color w:val="000000"/>
                <w:kern w:val="0"/>
                <w:sz w:val="22"/>
                <w:szCs w:val="22"/>
                <w:lang w:val="it-IT" w:eastAsia="en-US" w:bidi="ar-SA"/>
              </w:rPr>
              <w:t>Sud-Est</w:t>
            </w:r>
          </w:p>
        </w:tc>
        <w:tc>
          <w:tcPr>
            <w:tcW w:w="1352"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520</w:t>
            </w:r>
          </w:p>
        </w:tc>
      </w:tr>
      <w:tr>
        <w:trPr>
          <w:trHeight w:val="300" w:hRule="atLeast"/>
        </w:trPr>
        <w:tc>
          <w:tcPr>
            <w:tcW w:w="2900" w:type="dxa"/>
            <w:tcBorders/>
          </w:tcPr>
          <w:p>
            <w:pPr>
              <w:pStyle w:val="Normal"/>
              <w:widowControl/>
              <w:suppressAutoHyphens w:val="false"/>
              <w:spacing w:before="0" w:after="0"/>
              <w:jc w:val="left"/>
              <w:rPr>
                <w:rFonts w:cs="Calibri"/>
                <w:b/>
                <w:b/>
                <w:bCs/>
                <w:color w:val="000000"/>
              </w:rPr>
            </w:pPr>
            <w:r>
              <w:rPr>
                <w:rFonts w:eastAsia="Times New Roman" w:cs="Calibri" w:ascii="Calibri" w:hAnsi="Calibri"/>
                <w:b/>
                <w:bCs/>
                <w:color w:val="000000"/>
                <w:kern w:val="0"/>
                <w:sz w:val="22"/>
                <w:szCs w:val="22"/>
                <w:lang w:val="it-IT" w:eastAsia="en-US" w:bidi="ar-SA"/>
              </w:rPr>
              <w:t>Prato</w:t>
            </w:r>
          </w:p>
        </w:tc>
        <w:tc>
          <w:tcPr>
            <w:tcW w:w="1352"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678</w:t>
            </w:r>
          </w:p>
        </w:tc>
      </w:tr>
      <w:tr>
        <w:trPr>
          <w:trHeight w:val="300" w:hRule="atLeast"/>
        </w:trPr>
        <w:tc>
          <w:tcPr>
            <w:tcW w:w="2900" w:type="dxa"/>
            <w:tcBorders/>
          </w:tcPr>
          <w:p>
            <w:pPr>
              <w:pStyle w:val="Normal"/>
              <w:widowControl/>
              <w:suppressAutoHyphens w:val="false"/>
              <w:spacing w:before="0" w:after="0"/>
              <w:jc w:val="left"/>
              <w:rPr>
                <w:rFonts w:cs="Calibri"/>
                <w:b/>
                <w:b/>
                <w:bCs/>
                <w:color w:val="000000"/>
              </w:rPr>
            </w:pPr>
            <w:r>
              <w:rPr>
                <w:rFonts w:eastAsia="Times New Roman" w:cs="Calibri" w:ascii="Calibri" w:hAnsi="Calibri"/>
                <w:b/>
                <w:bCs/>
                <w:color w:val="000000"/>
                <w:kern w:val="0"/>
                <w:sz w:val="22"/>
                <w:szCs w:val="22"/>
                <w:lang w:val="it-IT" w:eastAsia="en-US" w:bidi="ar-SA"/>
              </w:rPr>
              <w:t>Pistoia</w:t>
            </w:r>
          </w:p>
        </w:tc>
        <w:tc>
          <w:tcPr>
            <w:tcW w:w="1352"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345</w:t>
            </w:r>
          </w:p>
        </w:tc>
      </w:tr>
      <w:tr>
        <w:trPr>
          <w:trHeight w:val="300" w:hRule="atLeast"/>
        </w:trPr>
        <w:tc>
          <w:tcPr>
            <w:tcW w:w="2900" w:type="dxa"/>
            <w:tcBorders/>
          </w:tcPr>
          <w:p>
            <w:pPr>
              <w:pStyle w:val="Normal"/>
              <w:widowControl/>
              <w:suppressAutoHyphens w:val="false"/>
              <w:spacing w:before="0" w:after="0"/>
              <w:jc w:val="left"/>
              <w:rPr>
                <w:rFonts w:cs="Calibri"/>
                <w:b/>
                <w:b/>
                <w:bCs/>
                <w:color w:val="000000"/>
              </w:rPr>
            </w:pPr>
            <w:r>
              <w:rPr>
                <w:rFonts w:eastAsia="Times New Roman" w:cs="Calibri" w:ascii="Calibri" w:hAnsi="Calibri"/>
                <w:b/>
                <w:bCs/>
                <w:color w:val="000000"/>
                <w:kern w:val="0"/>
                <w:sz w:val="22"/>
                <w:szCs w:val="22"/>
                <w:lang w:val="it-IT" w:eastAsia="en-US" w:bidi="ar-SA"/>
              </w:rPr>
              <w:t>Val di Nievole</w:t>
            </w:r>
          </w:p>
        </w:tc>
        <w:tc>
          <w:tcPr>
            <w:tcW w:w="1352"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310</w:t>
            </w:r>
          </w:p>
        </w:tc>
      </w:tr>
      <w:tr>
        <w:trPr>
          <w:trHeight w:val="315" w:hRule="atLeast"/>
        </w:trPr>
        <w:tc>
          <w:tcPr>
            <w:tcW w:w="2900" w:type="dxa"/>
            <w:tcBorders/>
          </w:tcPr>
          <w:p>
            <w:pPr>
              <w:pStyle w:val="Normal"/>
              <w:widowControl/>
              <w:suppressAutoHyphens w:val="false"/>
              <w:spacing w:before="0" w:after="0"/>
              <w:jc w:val="left"/>
              <w:rPr>
                <w:rFonts w:cs="Calibri"/>
                <w:b/>
                <w:b/>
                <w:bCs/>
                <w:color w:val="000000"/>
              </w:rPr>
            </w:pPr>
            <w:r>
              <w:rPr>
                <w:rFonts w:eastAsia="Times New Roman" w:cs="Calibri" w:ascii="Calibri" w:hAnsi="Calibri"/>
                <w:b/>
                <w:bCs/>
                <w:color w:val="000000"/>
                <w:kern w:val="0"/>
                <w:sz w:val="22"/>
                <w:szCs w:val="22"/>
                <w:lang w:val="it-IT" w:eastAsia="en-US" w:bidi="ar-SA"/>
              </w:rPr>
              <w:t>Extra territoriale</w:t>
            </w:r>
          </w:p>
        </w:tc>
        <w:tc>
          <w:tcPr>
            <w:tcW w:w="1352" w:type="dxa"/>
            <w:tcBorders/>
          </w:tcPr>
          <w:p>
            <w:pPr>
              <w:pStyle w:val="Normal"/>
              <w:widowControl/>
              <w:suppressAutoHyphens w:val="false"/>
              <w:spacing w:before="0" w:after="0"/>
              <w:jc w:val="right"/>
              <w:rPr>
                <w:rFonts w:cs="Calibri"/>
                <w:color w:val="000000"/>
              </w:rPr>
            </w:pPr>
            <w:r>
              <w:rPr>
                <w:rFonts w:eastAsia="Times New Roman" w:cs="Calibri" w:ascii="Calibri" w:hAnsi="Calibri"/>
                <w:color w:val="000000"/>
                <w:kern w:val="0"/>
                <w:sz w:val="22"/>
                <w:szCs w:val="22"/>
                <w:lang w:val="it-IT" w:eastAsia="en-US" w:bidi="ar-SA"/>
              </w:rPr>
              <w:t>42</w:t>
            </w:r>
          </w:p>
        </w:tc>
      </w:tr>
      <w:tr>
        <w:trPr>
          <w:trHeight w:val="315" w:hRule="atLeast"/>
        </w:trPr>
        <w:tc>
          <w:tcPr>
            <w:tcW w:w="2900" w:type="dxa"/>
            <w:tcBorders/>
          </w:tcPr>
          <w:p>
            <w:pPr>
              <w:pStyle w:val="Normal"/>
              <w:widowControl/>
              <w:suppressAutoHyphens w:val="false"/>
              <w:spacing w:before="0" w:after="0"/>
              <w:jc w:val="left"/>
              <w:rPr>
                <w:rFonts w:cs="Calibri"/>
                <w:b/>
                <w:b/>
                <w:bCs/>
                <w:color w:val="000000"/>
              </w:rPr>
            </w:pPr>
            <w:r>
              <w:rPr>
                <w:rFonts w:eastAsia="Times New Roman" w:cs="Calibri" w:ascii="Calibri" w:hAnsi="Calibri"/>
                <w:b/>
                <w:bCs/>
                <w:color w:val="000000"/>
                <w:kern w:val="0"/>
                <w:sz w:val="22"/>
                <w:szCs w:val="22"/>
                <w:lang w:val="it-IT" w:eastAsia="en-US" w:bidi="ar-SA"/>
              </w:rPr>
              <w:t>TOTALE</w:t>
            </w:r>
          </w:p>
        </w:tc>
        <w:tc>
          <w:tcPr>
            <w:tcW w:w="1352" w:type="dxa"/>
            <w:tcBorders/>
          </w:tcPr>
          <w:p>
            <w:pPr>
              <w:pStyle w:val="Normal"/>
              <w:widowControl/>
              <w:suppressAutoHyphens w:val="false"/>
              <w:spacing w:before="0" w:after="0"/>
              <w:jc w:val="right"/>
              <w:rPr>
                <w:rFonts w:cs="Calibri"/>
                <w:b/>
                <w:b/>
                <w:bCs/>
                <w:color w:val="000000"/>
              </w:rPr>
            </w:pPr>
            <w:r>
              <w:rPr>
                <w:rFonts w:eastAsia="Times New Roman" w:cs="Calibri" w:ascii="Calibri" w:hAnsi="Calibri"/>
                <w:b/>
                <w:bCs/>
                <w:color w:val="000000"/>
                <w:kern w:val="0"/>
                <w:sz w:val="22"/>
                <w:szCs w:val="22"/>
                <w:lang w:val="it-IT" w:eastAsia="en-US" w:bidi="ar-SA"/>
              </w:rPr>
              <w:t>3795</w:t>
            </w:r>
          </w:p>
        </w:tc>
      </w:tr>
    </w:tbl>
    <w:p>
      <w:pPr>
        <w:pStyle w:val="Normal"/>
        <w:rPr>
          <w:rFonts w:ascii="Calibri" w:hAnsi="Calibri" w:cs="Calibri"/>
          <w:sz w:val="16"/>
          <w:szCs w:val="18"/>
        </w:rPr>
      </w:pPr>
      <w:r>
        <w:rPr>
          <w:rFonts w:cs="Calibri" w:ascii="Calibri" w:hAnsi="Calibri"/>
          <w:sz w:val="16"/>
          <w:szCs w:val="18"/>
        </w:rPr>
        <w:t>Fonte: Stampe AsterCloud    ;* Pazienti assistiti nel livello base e specialistico, nei nodi domicilio + ambulatorio.</w:t>
      </w:r>
    </w:p>
    <w:p>
      <w:pPr>
        <w:pStyle w:val="Normal"/>
        <w:rPr>
          <w:rFonts w:ascii="Calibri" w:hAnsi="Calibri" w:cs="Calibri"/>
          <w:sz w:val="16"/>
          <w:szCs w:val="18"/>
        </w:rPr>
      </w:pPr>
      <w:r>
        <w:rPr>
          <w:rFonts w:cs="Calibri" w:ascii="Calibri" w:hAnsi="Calibri"/>
          <w:sz w:val="16"/>
          <w:szCs w:val="18"/>
        </w:rPr>
      </w:r>
    </w:p>
    <w:p>
      <w:pPr>
        <w:pStyle w:val="Normal"/>
        <w:rPr>
          <w:rFonts w:ascii="Calibri" w:hAnsi="Calibri" w:cs="Calibri"/>
          <w:b/>
          <w:b/>
          <w:sz w:val="22"/>
        </w:rPr>
      </w:pPr>
      <w:r>
        <w:rPr>
          <w:rFonts w:cs="Calibri" w:ascii="Calibri" w:hAnsi="Calibri"/>
          <w:b/>
          <w:sz w:val="22"/>
        </w:rPr>
        <w:t>Tabella 30. Attività domiciliare nell’AUSL Toscana Centro, anno 2022</w:t>
      </w:r>
    </w:p>
    <w:tbl>
      <w:tblPr>
        <w:tblW w:w="4253" w:type="dxa"/>
        <w:jc w:val="left"/>
        <w:tblInd w:w="-5" w:type="dxa"/>
        <w:tblLayout w:type="fixed"/>
        <w:tblCellMar>
          <w:top w:w="0" w:type="dxa"/>
          <w:left w:w="70" w:type="dxa"/>
          <w:bottom w:w="0" w:type="dxa"/>
          <w:right w:w="70" w:type="dxa"/>
        </w:tblCellMar>
        <w:tblLook w:firstRow="1" w:noVBand="0" w:lastRow="0" w:firstColumn="1" w:lastColumn="0" w:noHBand="0" w:val="00a0"/>
      </w:tblPr>
      <w:tblGrid>
        <w:gridCol w:w="2900"/>
        <w:gridCol w:w="1352"/>
      </w:tblGrid>
      <w:tr>
        <w:trPr>
          <w:trHeight w:val="600" w:hRule="atLeast"/>
        </w:trPr>
        <w:tc>
          <w:tcPr>
            <w:tcW w:w="29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rFonts w:ascii="Calibri" w:hAnsi="Calibri" w:cs="Calibri"/>
                <w:b/>
                <w:b/>
                <w:bCs/>
                <w:color w:val="000000"/>
              </w:rPr>
            </w:pPr>
            <w:r>
              <w:rPr>
                <w:rFonts w:cs="Calibri" w:ascii="Calibri" w:hAnsi="Calibri"/>
                <w:b/>
                <w:bCs/>
                <w:color w:val="000000"/>
                <w:sz w:val="22"/>
                <w:szCs w:val="22"/>
              </w:rPr>
              <w:t>Zona territoriale</w:t>
            </w:r>
          </w:p>
        </w:tc>
        <w:tc>
          <w:tcPr>
            <w:tcW w:w="1352"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rFonts w:ascii="Calibri" w:hAnsi="Calibri" w:cs="Calibri"/>
                <w:b/>
                <w:b/>
                <w:bCs/>
                <w:color w:val="000000"/>
              </w:rPr>
            </w:pPr>
            <w:r>
              <w:rPr>
                <w:rFonts w:cs="Calibri" w:ascii="Calibri" w:hAnsi="Calibri"/>
                <w:b/>
                <w:bCs/>
                <w:color w:val="000000"/>
                <w:sz w:val="22"/>
                <w:szCs w:val="22"/>
              </w:rPr>
              <w:t>Pz assistiti *</w:t>
            </w:r>
          </w:p>
        </w:tc>
      </w:tr>
      <w:tr>
        <w:trPr>
          <w:trHeight w:val="300" w:hRule="atLeast"/>
        </w:trPr>
        <w:tc>
          <w:tcPr>
            <w:tcW w:w="2900" w:type="dxa"/>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b/>
                <w:b/>
                <w:bCs/>
                <w:color w:val="000000"/>
              </w:rPr>
            </w:pPr>
            <w:r>
              <w:rPr>
                <w:rFonts w:cs="Calibri" w:ascii="Calibri" w:hAnsi="Calibri"/>
                <w:b/>
                <w:bCs/>
                <w:color w:val="000000"/>
                <w:sz w:val="22"/>
                <w:szCs w:val="22"/>
              </w:rPr>
              <w:t>Empolese/Valdelsa/Valdarno</w:t>
            </w:r>
          </w:p>
        </w:tc>
        <w:tc>
          <w:tcPr>
            <w:tcW w:w="1352" w:type="dxa"/>
            <w:tcBorders>
              <w:bottom w:val="single" w:sz="4" w:space="0" w:color="000000"/>
              <w:right w:val="single" w:sz="4" w:space="0" w:color="000000"/>
            </w:tcBorders>
            <w:vAlign w:val="center"/>
          </w:tcPr>
          <w:p>
            <w:pPr>
              <w:pStyle w:val="Normal"/>
              <w:widowControl w:val="false"/>
              <w:suppressAutoHyphens w:val="false"/>
              <w:jc w:val="right"/>
              <w:rPr>
                <w:rFonts w:ascii="Calibri" w:hAnsi="Calibri" w:cs="Calibri"/>
                <w:color w:val="000000"/>
              </w:rPr>
            </w:pPr>
            <w:r>
              <w:rPr>
                <w:rFonts w:cs="Calibri" w:ascii="Calibri" w:hAnsi="Calibri"/>
                <w:color w:val="000000"/>
                <w:sz w:val="22"/>
                <w:szCs w:val="22"/>
              </w:rPr>
              <w:t>614</w:t>
            </w:r>
          </w:p>
        </w:tc>
      </w:tr>
      <w:tr>
        <w:trPr>
          <w:trHeight w:val="300" w:hRule="atLeast"/>
        </w:trPr>
        <w:tc>
          <w:tcPr>
            <w:tcW w:w="2900" w:type="dxa"/>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b/>
                <w:b/>
                <w:bCs/>
                <w:color w:val="000000"/>
              </w:rPr>
            </w:pPr>
            <w:r>
              <w:rPr>
                <w:rFonts w:cs="Calibri" w:ascii="Calibri" w:hAnsi="Calibri"/>
                <w:b/>
                <w:bCs/>
                <w:color w:val="000000"/>
                <w:sz w:val="22"/>
                <w:szCs w:val="22"/>
              </w:rPr>
              <w:t>Firenze</w:t>
            </w:r>
          </w:p>
        </w:tc>
        <w:tc>
          <w:tcPr>
            <w:tcW w:w="1352" w:type="dxa"/>
            <w:tcBorders>
              <w:bottom w:val="single" w:sz="4" w:space="0" w:color="000000"/>
              <w:right w:val="single" w:sz="4" w:space="0" w:color="000000"/>
            </w:tcBorders>
            <w:vAlign w:val="center"/>
          </w:tcPr>
          <w:p>
            <w:pPr>
              <w:pStyle w:val="Normal"/>
              <w:widowControl w:val="false"/>
              <w:suppressAutoHyphens w:val="false"/>
              <w:jc w:val="right"/>
              <w:rPr>
                <w:rFonts w:ascii="Calibri" w:hAnsi="Calibri" w:cs="Calibri"/>
                <w:color w:val="000000"/>
              </w:rPr>
            </w:pPr>
            <w:r>
              <w:rPr>
                <w:rFonts w:cs="Calibri" w:ascii="Calibri" w:hAnsi="Calibri"/>
                <w:color w:val="000000"/>
                <w:sz w:val="22"/>
                <w:szCs w:val="22"/>
              </w:rPr>
              <w:t>909</w:t>
            </w:r>
          </w:p>
        </w:tc>
      </w:tr>
      <w:tr>
        <w:trPr>
          <w:trHeight w:val="300" w:hRule="atLeast"/>
        </w:trPr>
        <w:tc>
          <w:tcPr>
            <w:tcW w:w="2900" w:type="dxa"/>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b/>
                <w:b/>
                <w:bCs/>
                <w:color w:val="000000"/>
              </w:rPr>
            </w:pPr>
            <w:r>
              <w:rPr>
                <w:rFonts w:cs="Calibri" w:ascii="Calibri" w:hAnsi="Calibri"/>
                <w:b/>
                <w:bCs/>
                <w:color w:val="000000"/>
                <w:sz w:val="22"/>
                <w:szCs w:val="22"/>
              </w:rPr>
              <w:t>Mugello</w:t>
            </w:r>
          </w:p>
        </w:tc>
        <w:tc>
          <w:tcPr>
            <w:tcW w:w="1352" w:type="dxa"/>
            <w:tcBorders>
              <w:bottom w:val="single" w:sz="4" w:space="0" w:color="000000"/>
              <w:right w:val="single" w:sz="4" w:space="0" w:color="000000"/>
            </w:tcBorders>
            <w:vAlign w:val="center"/>
          </w:tcPr>
          <w:p>
            <w:pPr>
              <w:pStyle w:val="Normal"/>
              <w:widowControl w:val="false"/>
              <w:suppressAutoHyphens w:val="false"/>
              <w:jc w:val="right"/>
              <w:rPr>
                <w:rFonts w:ascii="Calibri" w:hAnsi="Calibri" w:cs="Calibri"/>
                <w:color w:val="000000"/>
              </w:rPr>
            </w:pPr>
            <w:r>
              <w:rPr>
                <w:rFonts w:cs="Calibri" w:ascii="Calibri" w:hAnsi="Calibri"/>
                <w:color w:val="000000"/>
                <w:sz w:val="22"/>
                <w:szCs w:val="22"/>
              </w:rPr>
              <w:t>118</w:t>
            </w:r>
          </w:p>
        </w:tc>
      </w:tr>
      <w:tr>
        <w:trPr>
          <w:trHeight w:val="300" w:hRule="atLeast"/>
        </w:trPr>
        <w:tc>
          <w:tcPr>
            <w:tcW w:w="2900" w:type="dxa"/>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b/>
                <w:b/>
                <w:bCs/>
                <w:color w:val="000000"/>
              </w:rPr>
            </w:pPr>
            <w:r>
              <w:rPr>
                <w:rFonts w:cs="Calibri" w:ascii="Calibri" w:hAnsi="Calibri"/>
                <w:b/>
                <w:bCs/>
                <w:color w:val="000000"/>
                <w:sz w:val="22"/>
                <w:szCs w:val="22"/>
              </w:rPr>
              <w:t>Nord-Ovest</w:t>
            </w:r>
          </w:p>
        </w:tc>
        <w:tc>
          <w:tcPr>
            <w:tcW w:w="1352" w:type="dxa"/>
            <w:tcBorders>
              <w:bottom w:val="single" w:sz="4" w:space="0" w:color="000000"/>
              <w:right w:val="single" w:sz="4" w:space="0" w:color="000000"/>
            </w:tcBorders>
            <w:vAlign w:val="center"/>
          </w:tcPr>
          <w:p>
            <w:pPr>
              <w:pStyle w:val="Normal"/>
              <w:widowControl w:val="false"/>
              <w:suppressAutoHyphens w:val="false"/>
              <w:jc w:val="right"/>
              <w:rPr>
                <w:rFonts w:ascii="Calibri" w:hAnsi="Calibri" w:cs="Calibri"/>
                <w:color w:val="000000"/>
              </w:rPr>
            </w:pPr>
            <w:r>
              <w:rPr>
                <w:rFonts w:cs="Calibri" w:ascii="Calibri" w:hAnsi="Calibri"/>
                <w:color w:val="000000"/>
                <w:sz w:val="22"/>
                <w:szCs w:val="22"/>
              </w:rPr>
              <w:t>259</w:t>
            </w:r>
          </w:p>
        </w:tc>
      </w:tr>
      <w:tr>
        <w:trPr>
          <w:trHeight w:val="300" w:hRule="atLeast"/>
        </w:trPr>
        <w:tc>
          <w:tcPr>
            <w:tcW w:w="2900" w:type="dxa"/>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b/>
                <w:b/>
                <w:bCs/>
                <w:color w:val="000000"/>
              </w:rPr>
            </w:pPr>
            <w:r>
              <w:rPr>
                <w:rFonts w:cs="Calibri" w:ascii="Calibri" w:hAnsi="Calibri"/>
                <w:b/>
                <w:bCs/>
                <w:color w:val="000000"/>
                <w:sz w:val="22"/>
                <w:szCs w:val="22"/>
              </w:rPr>
              <w:t>Sud-Est</w:t>
            </w:r>
          </w:p>
        </w:tc>
        <w:tc>
          <w:tcPr>
            <w:tcW w:w="1352" w:type="dxa"/>
            <w:tcBorders>
              <w:bottom w:val="single" w:sz="4" w:space="0" w:color="000000"/>
              <w:right w:val="single" w:sz="4" w:space="0" w:color="000000"/>
            </w:tcBorders>
            <w:vAlign w:val="center"/>
          </w:tcPr>
          <w:p>
            <w:pPr>
              <w:pStyle w:val="Normal"/>
              <w:widowControl w:val="false"/>
              <w:suppressAutoHyphens w:val="false"/>
              <w:jc w:val="right"/>
              <w:rPr>
                <w:rFonts w:ascii="Calibri" w:hAnsi="Calibri" w:cs="Calibri"/>
                <w:color w:val="000000"/>
              </w:rPr>
            </w:pPr>
            <w:r>
              <w:rPr>
                <w:rFonts w:cs="Calibri" w:ascii="Calibri" w:hAnsi="Calibri"/>
                <w:color w:val="000000"/>
                <w:sz w:val="22"/>
                <w:szCs w:val="22"/>
              </w:rPr>
              <w:t>520</w:t>
            </w:r>
          </w:p>
        </w:tc>
      </w:tr>
      <w:tr>
        <w:trPr>
          <w:trHeight w:val="300" w:hRule="atLeast"/>
        </w:trPr>
        <w:tc>
          <w:tcPr>
            <w:tcW w:w="2900" w:type="dxa"/>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b/>
                <w:b/>
                <w:bCs/>
                <w:color w:val="000000"/>
              </w:rPr>
            </w:pPr>
            <w:r>
              <w:rPr>
                <w:rFonts w:cs="Calibri" w:ascii="Calibri" w:hAnsi="Calibri"/>
                <w:b/>
                <w:bCs/>
                <w:color w:val="000000"/>
                <w:sz w:val="22"/>
                <w:szCs w:val="22"/>
              </w:rPr>
              <w:t>Prato</w:t>
            </w:r>
          </w:p>
        </w:tc>
        <w:tc>
          <w:tcPr>
            <w:tcW w:w="1352" w:type="dxa"/>
            <w:tcBorders>
              <w:bottom w:val="single" w:sz="4" w:space="0" w:color="000000"/>
              <w:right w:val="single" w:sz="4" w:space="0" w:color="000000"/>
            </w:tcBorders>
            <w:vAlign w:val="center"/>
          </w:tcPr>
          <w:p>
            <w:pPr>
              <w:pStyle w:val="Normal"/>
              <w:widowControl w:val="false"/>
              <w:suppressAutoHyphens w:val="false"/>
              <w:jc w:val="right"/>
              <w:rPr>
                <w:rFonts w:ascii="Calibri" w:hAnsi="Calibri" w:cs="Calibri"/>
                <w:color w:val="000000"/>
              </w:rPr>
            </w:pPr>
            <w:r>
              <w:rPr>
                <w:rFonts w:cs="Calibri" w:ascii="Calibri" w:hAnsi="Calibri"/>
                <w:color w:val="000000"/>
                <w:sz w:val="22"/>
                <w:szCs w:val="22"/>
              </w:rPr>
              <w:t>678</w:t>
            </w:r>
          </w:p>
        </w:tc>
      </w:tr>
      <w:tr>
        <w:trPr>
          <w:trHeight w:val="300" w:hRule="atLeast"/>
        </w:trPr>
        <w:tc>
          <w:tcPr>
            <w:tcW w:w="2900" w:type="dxa"/>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b/>
                <w:b/>
                <w:bCs/>
                <w:color w:val="000000"/>
              </w:rPr>
            </w:pPr>
            <w:r>
              <w:rPr>
                <w:rFonts w:cs="Calibri" w:ascii="Calibri" w:hAnsi="Calibri"/>
                <w:b/>
                <w:bCs/>
                <w:color w:val="000000"/>
                <w:sz w:val="22"/>
                <w:szCs w:val="22"/>
              </w:rPr>
              <w:t>Pistoia</w:t>
            </w:r>
          </w:p>
        </w:tc>
        <w:tc>
          <w:tcPr>
            <w:tcW w:w="1352" w:type="dxa"/>
            <w:tcBorders>
              <w:bottom w:val="single" w:sz="4" w:space="0" w:color="000000"/>
              <w:right w:val="single" w:sz="4" w:space="0" w:color="000000"/>
            </w:tcBorders>
            <w:vAlign w:val="center"/>
          </w:tcPr>
          <w:p>
            <w:pPr>
              <w:pStyle w:val="Normal"/>
              <w:widowControl w:val="false"/>
              <w:suppressAutoHyphens w:val="false"/>
              <w:jc w:val="right"/>
              <w:rPr>
                <w:rFonts w:ascii="Calibri" w:hAnsi="Calibri" w:cs="Calibri"/>
                <w:color w:val="000000"/>
              </w:rPr>
            </w:pPr>
            <w:r>
              <w:rPr>
                <w:rFonts w:cs="Calibri" w:ascii="Calibri" w:hAnsi="Calibri"/>
                <w:color w:val="000000"/>
                <w:sz w:val="22"/>
                <w:szCs w:val="22"/>
              </w:rPr>
              <w:t>345</w:t>
            </w:r>
          </w:p>
        </w:tc>
      </w:tr>
      <w:tr>
        <w:trPr>
          <w:trHeight w:val="300" w:hRule="atLeast"/>
        </w:trPr>
        <w:tc>
          <w:tcPr>
            <w:tcW w:w="2900" w:type="dxa"/>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b/>
                <w:b/>
                <w:bCs/>
                <w:color w:val="000000"/>
              </w:rPr>
            </w:pPr>
            <w:r>
              <w:rPr>
                <w:rFonts w:cs="Calibri" w:ascii="Calibri" w:hAnsi="Calibri"/>
                <w:b/>
                <w:bCs/>
                <w:color w:val="000000"/>
                <w:sz w:val="22"/>
                <w:szCs w:val="22"/>
              </w:rPr>
              <w:t>Val di Nievole</w:t>
            </w:r>
          </w:p>
        </w:tc>
        <w:tc>
          <w:tcPr>
            <w:tcW w:w="1352" w:type="dxa"/>
            <w:tcBorders>
              <w:bottom w:val="single" w:sz="4" w:space="0" w:color="000000"/>
              <w:right w:val="single" w:sz="4" w:space="0" w:color="000000"/>
            </w:tcBorders>
            <w:vAlign w:val="center"/>
          </w:tcPr>
          <w:p>
            <w:pPr>
              <w:pStyle w:val="Normal"/>
              <w:widowControl w:val="false"/>
              <w:suppressAutoHyphens w:val="false"/>
              <w:jc w:val="right"/>
              <w:rPr>
                <w:rFonts w:ascii="Calibri" w:hAnsi="Calibri" w:cs="Calibri"/>
                <w:color w:val="000000"/>
              </w:rPr>
            </w:pPr>
            <w:r>
              <w:rPr>
                <w:rFonts w:cs="Calibri" w:ascii="Calibri" w:hAnsi="Calibri"/>
                <w:color w:val="000000"/>
                <w:sz w:val="22"/>
                <w:szCs w:val="22"/>
              </w:rPr>
              <w:t>310</w:t>
            </w:r>
          </w:p>
        </w:tc>
      </w:tr>
      <w:tr>
        <w:trPr>
          <w:trHeight w:val="315" w:hRule="atLeast"/>
        </w:trPr>
        <w:tc>
          <w:tcPr>
            <w:tcW w:w="2900" w:type="dxa"/>
            <w:tcBorders>
              <w:left w:val="single" w:sz="4" w:space="0" w:color="000000"/>
              <w:bottom w:val="double" w:sz="6" w:space="0" w:color="000000"/>
              <w:right w:val="single" w:sz="4" w:space="0" w:color="000000"/>
            </w:tcBorders>
            <w:vAlign w:val="center"/>
          </w:tcPr>
          <w:p>
            <w:pPr>
              <w:pStyle w:val="Normal"/>
              <w:widowControl w:val="false"/>
              <w:suppressAutoHyphens w:val="false"/>
              <w:rPr>
                <w:rFonts w:ascii="Calibri" w:hAnsi="Calibri" w:cs="Calibri"/>
                <w:b/>
                <w:b/>
                <w:bCs/>
                <w:color w:val="000000"/>
              </w:rPr>
            </w:pPr>
            <w:r>
              <w:rPr>
                <w:rFonts w:cs="Calibri" w:ascii="Calibri" w:hAnsi="Calibri"/>
                <w:b/>
                <w:bCs/>
                <w:color w:val="000000"/>
                <w:sz w:val="22"/>
                <w:szCs w:val="22"/>
              </w:rPr>
              <w:t>Extra territoriale</w:t>
            </w:r>
          </w:p>
        </w:tc>
        <w:tc>
          <w:tcPr>
            <w:tcW w:w="1352" w:type="dxa"/>
            <w:tcBorders>
              <w:bottom w:val="double" w:sz="6" w:space="0" w:color="000000"/>
              <w:right w:val="single" w:sz="4" w:space="0" w:color="000000"/>
            </w:tcBorders>
            <w:vAlign w:val="center"/>
          </w:tcPr>
          <w:p>
            <w:pPr>
              <w:pStyle w:val="Normal"/>
              <w:widowControl w:val="false"/>
              <w:suppressAutoHyphens w:val="false"/>
              <w:jc w:val="right"/>
              <w:rPr>
                <w:rFonts w:ascii="Calibri" w:hAnsi="Calibri" w:cs="Calibri"/>
                <w:color w:val="000000"/>
              </w:rPr>
            </w:pPr>
            <w:r>
              <w:rPr>
                <w:rFonts w:cs="Calibri" w:ascii="Calibri" w:hAnsi="Calibri"/>
                <w:color w:val="000000"/>
                <w:sz w:val="22"/>
                <w:szCs w:val="22"/>
              </w:rPr>
              <w:t>42</w:t>
            </w:r>
          </w:p>
        </w:tc>
      </w:tr>
      <w:tr>
        <w:trPr>
          <w:trHeight w:val="315" w:hRule="atLeast"/>
        </w:trPr>
        <w:tc>
          <w:tcPr>
            <w:tcW w:w="2900" w:type="dxa"/>
            <w:tcBorders>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b/>
                <w:b/>
                <w:bCs/>
                <w:color w:val="000000"/>
              </w:rPr>
            </w:pPr>
            <w:r>
              <w:rPr>
                <w:rFonts w:cs="Calibri" w:ascii="Calibri" w:hAnsi="Calibri"/>
                <w:b/>
                <w:bCs/>
                <w:color w:val="000000"/>
                <w:sz w:val="22"/>
                <w:szCs w:val="22"/>
              </w:rPr>
              <w:t>TOTALE</w:t>
            </w:r>
          </w:p>
        </w:tc>
        <w:tc>
          <w:tcPr>
            <w:tcW w:w="1352" w:type="dxa"/>
            <w:tcBorders>
              <w:bottom w:val="single" w:sz="4" w:space="0" w:color="000000"/>
              <w:right w:val="single" w:sz="4" w:space="0" w:color="000000"/>
            </w:tcBorders>
            <w:vAlign w:val="center"/>
          </w:tcPr>
          <w:p>
            <w:pPr>
              <w:pStyle w:val="Normal"/>
              <w:widowControl w:val="false"/>
              <w:suppressAutoHyphens w:val="false"/>
              <w:jc w:val="right"/>
              <w:rPr>
                <w:rFonts w:ascii="Calibri" w:hAnsi="Calibri" w:cs="Calibri"/>
                <w:b/>
                <w:b/>
                <w:bCs/>
                <w:color w:val="000000"/>
              </w:rPr>
            </w:pPr>
            <w:r>
              <w:rPr>
                <w:rFonts w:cs="Calibri" w:ascii="Calibri" w:hAnsi="Calibri"/>
                <w:b/>
                <w:bCs/>
                <w:color w:val="000000"/>
                <w:sz w:val="22"/>
                <w:szCs w:val="22"/>
              </w:rPr>
              <w:t>3795</w:t>
            </w:r>
          </w:p>
        </w:tc>
      </w:tr>
    </w:tbl>
    <w:p>
      <w:pPr>
        <w:pStyle w:val="Normal"/>
        <w:rPr>
          <w:rFonts w:ascii="Calibri" w:hAnsi="Calibri" w:cs="Calibri"/>
          <w:sz w:val="16"/>
          <w:szCs w:val="18"/>
        </w:rPr>
      </w:pPr>
      <w:r>
        <w:rPr>
          <w:rFonts w:cs="Calibri" w:ascii="Calibri" w:hAnsi="Calibri"/>
          <w:sz w:val="16"/>
          <w:szCs w:val="18"/>
        </w:rPr>
        <w:t>Fonte: Stampe AsterCloud</w:t>
      </w:r>
    </w:p>
    <w:p>
      <w:pPr>
        <w:pStyle w:val="Normal"/>
        <w:rPr>
          <w:rFonts w:ascii="Calibri" w:hAnsi="Calibri" w:cs="Calibri"/>
          <w:sz w:val="18"/>
          <w:szCs w:val="18"/>
        </w:rPr>
      </w:pPr>
      <w:r>
        <w:rPr>
          <w:rFonts w:cs="Calibri" w:ascii="Calibri" w:hAnsi="Calibri"/>
          <w:sz w:val="16"/>
          <w:szCs w:val="18"/>
        </w:rPr>
        <w:t>* Pazienti assistiti nel livello base e specialistico, nei nodi domicilio + ambulatorio.</w:t>
      </w:r>
    </w:p>
    <w:p>
      <w:pPr>
        <w:pStyle w:val="Normal"/>
        <w:spacing w:lineRule="atLeast" w:line="320" w:before="0" w:after="120"/>
        <w:ind w:right="-2" w:hanging="0"/>
        <w:jc w:val="both"/>
        <w:rPr>
          <w:rFonts w:ascii="Calibri" w:hAnsi="Calibri" w:cs="Calibri"/>
          <w:b/>
          <w:b/>
          <w:sz w:val="22"/>
          <w:szCs w:val="22"/>
        </w:rPr>
      </w:pPr>
      <w:r>
        <w:rPr>
          <w:rFonts w:cs="Calibri" w:ascii="Calibri" w:hAnsi="Calibri"/>
          <w:b/>
          <w:sz w:val="22"/>
          <w:szCs w:val="22"/>
        </w:rPr>
        <w:t>2.4.11.1 INDICATORI</w:t>
      </w:r>
    </w:p>
    <w:p>
      <w:pPr>
        <w:pStyle w:val="Normal"/>
        <w:spacing w:lineRule="atLeast" w:line="320" w:before="0" w:after="120"/>
        <w:jc w:val="both"/>
        <w:rPr>
          <w:rFonts w:ascii="Calibri" w:hAnsi="Calibri" w:cs="Calibri"/>
          <w:sz w:val="22"/>
          <w:szCs w:val="22"/>
        </w:rPr>
      </w:pPr>
      <w:r>
        <w:rPr>
          <w:rFonts w:cs="Calibri" w:ascii="Calibri" w:hAnsi="Calibri"/>
          <w:sz w:val="22"/>
          <w:szCs w:val="22"/>
        </w:rPr>
        <w:t>Rispetto allo scorso anno migliora l’appropriatezza misurata dall’indicatore C28.2B (Tabella 31a) mostrando un tempo massimo di attesa per presa in carico del paziente oncologico dagli Hospice inferiore a 3 giorni nel 90% dei casi.</w:t>
      </w:r>
    </w:p>
    <w:p>
      <w:pPr>
        <w:pStyle w:val="Normal"/>
        <w:spacing w:lineRule="atLeast" w:line="320" w:before="0" w:after="120"/>
        <w:jc w:val="both"/>
        <w:rPr>
          <w:rFonts w:ascii="Calibri" w:hAnsi="Calibri" w:cs="Calibri"/>
          <w:sz w:val="22"/>
          <w:szCs w:val="22"/>
        </w:rPr>
      </w:pPr>
      <w:r>
        <w:rPr>
          <w:rFonts w:cs="Calibri" w:ascii="Calibri" w:hAnsi="Calibri"/>
          <w:sz w:val="22"/>
          <w:szCs w:val="22"/>
        </w:rPr>
        <w:t>Rispetto al 2021 aumenta ancora la quota di ricoveri in Hospice di pazienti oncologici provenienti dall'ospedale o da domicilio NON assistito con periodo di ricovero &lt;= 7gg, indicando probabilmente un troppo tardivo ricorso agli Hospice (Tabella 31b).</w:t>
      </w:r>
    </w:p>
    <w:p>
      <w:pPr>
        <w:pStyle w:val="Normal"/>
        <w:rPr>
          <w:rFonts w:ascii="Calibri" w:hAnsi="Calibri" w:cs="Calibri" w:asciiTheme="minorHAnsi" w:cstheme="minorHAnsi" w:hAnsiTheme="minorHAnsi"/>
          <w:b/>
          <w:b/>
          <w:sz w:val="22"/>
        </w:rPr>
      </w:pPr>
      <w:r>
        <w:rPr>
          <w:rFonts w:cs="Calibri" w:ascii="Calibri" w:hAnsi="Calibri" w:asciiTheme="minorHAnsi" w:cstheme="minorHAnsi" w:hAnsiTheme="minorHAnsi"/>
          <w:b/>
          <w:sz w:val="22"/>
        </w:rPr>
        <w:t>Tabella 31a. Indicatori MES ricorso all’Hospice in AUSL Toscana Centro, anno 2022</w:t>
      </w:r>
    </w:p>
    <w:tbl>
      <w:tblPr>
        <w:tblW w:w="9633" w:type="dxa"/>
        <w:jc w:val="left"/>
        <w:tblInd w:w="-5" w:type="dxa"/>
        <w:tblLayout w:type="fixed"/>
        <w:tblCellMar>
          <w:top w:w="0" w:type="dxa"/>
          <w:left w:w="70" w:type="dxa"/>
          <w:bottom w:w="0" w:type="dxa"/>
          <w:right w:w="70" w:type="dxa"/>
        </w:tblCellMar>
        <w:tblLook w:firstRow="1" w:noVBand="1" w:lastRow="0" w:firstColumn="1" w:lastColumn="0" w:noHBand="0" w:val="04a0"/>
      </w:tblPr>
      <w:tblGrid>
        <w:gridCol w:w="4677"/>
        <w:gridCol w:w="853"/>
        <w:gridCol w:w="848"/>
        <w:gridCol w:w="994"/>
        <w:gridCol w:w="709"/>
        <w:gridCol w:w="565"/>
        <w:gridCol w:w="986"/>
      </w:tblGrid>
      <w:tr>
        <w:trPr>
          <w:trHeight w:val="227" w:hRule="atLeast"/>
        </w:trPr>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sz w:val="18"/>
                <w:szCs w:val="22"/>
              </w:rPr>
            </w:pPr>
            <w:r>
              <w:rPr>
                <w:rFonts w:cs="Calibri" w:ascii="Calibri" w:hAnsi="Calibri"/>
                <w:b/>
                <w:sz w:val="18"/>
                <w:szCs w:val="22"/>
              </w:rPr>
              <w:t>Indicatore</w:t>
            </w:r>
          </w:p>
        </w:tc>
        <w:tc>
          <w:tcPr>
            <w:tcW w:w="853"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sz w:val="18"/>
                <w:szCs w:val="22"/>
              </w:rPr>
            </w:pPr>
            <w:r>
              <w:rPr>
                <w:rFonts w:cs="Calibri" w:ascii="Calibri" w:hAnsi="Calibri"/>
                <w:b/>
                <w:sz w:val="18"/>
                <w:szCs w:val="22"/>
              </w:rPr>
              <w:t>Valore 2021</w:t>
            </w:r>
          </w:p>
        </w:tc>
        <w:tc>
          <w:tcPr>
            <w:tcW w:w="848"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sz w:val="18"/>
                <w:szCs w:val="22"/>
              </w:rPr>
            </w:pPr>
            <w:r>
              <w:rPr>
                <w:rFonts w:cs="Calibri" w:ascii="Calibri" w:hAnsi="Calibri"/>
                <w:b/>
                <w:sz w:val="18"/>
                <w:szCs w:val="22"/>
              </w:rPr>
              <w:t>Valore 2022</w:t>
            </w:r>
          </w:p>
        </w:tc>
        <w:tc>
          <w:tcPr>
            <w:tcW w:w="994"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18"/>
                <w:szCs w:val="22"/>
              </w:rPr>
            </w:pPr>
            <w:r>
              <w:rPr>
                <w:rFonts w:cs="Calibri" w:ascii="Calibri" w:hAnsi="Calibri"/>
                <w:b/>
                <w:sz w:val="18"/>
                <w:szCs w:val="22"/>
              </w:rPr>
              <w:t>Valutazione 2022</w:t>
            </w:r>
          </w:p>
        </w:tc>
        <w:tc>
          <w:tcPr>
            <w:tcW w:w="709"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sz w:val="18"/>
                <w:szCs w:val="22"/>
              </w:rPr>
            </w:pPr>
            <w:r>
              <w:rPr>
                <w:rFonts w:cs="Calibri" w:ascii="Calibri" w:hAnsi="Calibri"/>
                <w:b/>
                <w:sz w:val="18"/>
                <w:szCs w:val="22"/>
              </w:rPr>
              <w:t>Δ (%)</w:t>
            </w:r>
          </w:p>
        </w:tc>
        <w:tc>
          <w:tcPr>
            <w:tcW w:w="56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sz w:val="18"/>
                <w:szCs w:val="22"/>
              </w:rPr>
            </w:pPr>
            <w:r>
              <w:rPr>
                <w:rFonts w:cs="Calibri" w:ascii="Calibri" w:hAnsi="Calibri"/>
                <w:b/>
                <w:sz w:val="18"/>
                <w:szCs w:val="22"/>
              </w:rPr>
              <w:t>Δ CV</w:t>
            </w:r>
          </w:p>
        </w:tc>
        <w:tc>
          <w:tcPr>
            <w:tcW w:w="986"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8"/>
                <w:szCs w:val="16"/>
              </w:rPr>
            </w:pPr>
            <w:r>
              <w:rPr>
                <w:rFonts w:cs="Calibri" w:ascii="Calibri" w:hAnsi="Calibri"/>
                <w:b/>
                <w:sz w:val="18"/>
                <w:szCs w:val="22"/>
              </w:rPr>
              <w:t>Variabilità</w:t>
            </w:r>
          </w:p>
        </w:tc>
      </w:tr>
      <w:tr>
        <w:trPr>
          <w:trHeight w:val="227" w:hRule="atLeast"/>
        </w:trPr>
        <w:tc>
          <w:tcPr>
            <w:tcW w:w="4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sz w:val="18"/>
                <w:szCs w:val="22"/>
              </w:rPr>
            </w:pPr>
            <w:r>
              <w:rPr>
                <w:rFonts w:cs="Calibri" w:ascii="Calibri" w:hAnsi="Calibri"/>
                <w:sz w:val="18"/>
                <w:szCs w:val="22"/>
              </w:rPr>
              <w:t>C28.2B Percentuale di ricoveri Hospice di malati con patologia oncologica con tempo massimo di attesa fra Segnalazione e ricovero in Hospice &lt;= 3 giorni</w:t>
            </w:r>
          </w:p>
        </w:tc>
        <w:tc>
          <w:tcPr>
            <w:tcW w:w="853"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sz w:val="18"/>
                <w:szCs w:val="22"/>
              </w:rPr>
            </w:pPr>
            <w:r>
              <w:rPr>
                <w:rFonts w:cs="Calibri" w:ascii="Calibri" w:hAnsi="Calibri"/>
                <w:sz w:val="18"/>
                <w:szCs w:val="22"/>
              </w:rPr>
              <w:t>86,43</w:t>
            </w:r>
          </w:p>
        </w:tc>
        <w:tc>
          <w:tcPr>
            <w:tcW w:w="84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sz w:val="18"/>
                <w:szCs w:val="22"/>
              </w:rPr>
            </w:pPr>
            <w:r>
              <w:rPr>
                <w:rFonts w:cs="Calibri" w:ascii="Calibri" w:hAnsi="Calibri"/>
                <w:sz w:val="18"/>
                <w:szCs w:val="22"/>
              </w:rPr>
              <w:t>89,76</w:t>
            </w:r>
          </w:p>
        </w:tc>
        <w:tc>
          <w:tcPr>
            <w:tcW w:w="994" w:type="dxa"/>
            <w:tcBorders>
              <w:bottom w:val="single" w:sz="4" w:space="0" w:color="000000"/>
              <w:right w:val="single" w:sz="4" w:space="0" w:color="000000"/>
            </w:tcBorders>
            <w:shd w:color="auto" w:fill="92D050" w:val="clear"/>
            <w:vAlign w:val="bottom"/>
          </w:tcPr>
          <w:p>
            <w:pPr>
              <w:pStyle w:val="Normal"/>
              <w:widowControl w:val="false"/>
              <w:suppressAutoHyphens w:val="false"/>
              <w:jc w:val="center"/>
              <w:rPr>
                <w:rFonts w:ascii="Calibri" w:hAnsi="Calibri" w:cs="Calibri"/>
                <w:sz w:val="18"/>
                <w:szCs w:val="22"/>
              </w:rPr>
            </w:pPr>
            <w:r>
              <w:rPr>
                <w:rFonts w:cs="Calibri" w:ascii="Calibri" w:hAnsi="Calibri"/>
                <w:sz w:val="18"/>
                <w:szCs w:val="22"/>
              </w:rPr>
              <w:t>3,29</w:t>
            </w:r>
          </w:p>
        </w:tc>
        <w:tc>
          <w:tcPr>
            <w:tcW w:w="709"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sz w:val="18"/>
                <w:szCs w:val="22"/>
              </w:rPr>
            </w:pPr>
            <w:r>
              <w:rPr>
                <w:rFonts w:cs="Calibri" w:ascii="Calibri" w:hAnsi="Calibri"/>
                <w:sz w:val="18"/>
                <w:szCs w:val="22"/>
              </w:rPr>
              <w:t>3,85</w:t>
            </w:r>
          </w:p>
        </w:tc>
        <w:tc>
          <w:tcPr>
            <w:tcW w:w="56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sz w:val="18"/>
                <w:szCs w:val="22"/>
              </w:rPr>
            </w:pPr>
            <w:r>
              <w:rPr>
                <w:rFonts w:cs="Calibri" w:ascii="Calibri" w:hAnsi="Calibri"/>
                <w:sz w:val="18"/>
                <w:szCs w:val="22"/>
              </w:rPr>
              <w:t>-0,56</w:t>
            </w:r>
          </w:p>
        </w:tc>
        <w:tc>
          <w:tcPr>
            <w:tcW w:w="986" w:type="dxa"/>
            <w:tcBorders>
              <w:top w:val="single" w:sz="4" w:space="0" w:color="000000"/>
              <w:left w:val="single" w:sz="4" w:space="0" w:color="000000"/>
              <w:bottom w:val="single" w:sz="4" w:space="0" w:color="000000"/>
              <w:right w:val="single" w:sz="4" w:space="0" w:color="000000"/>
            </w:tcBorders>
            <w:shd w:color="auto" w:fill="00B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r>
        <w:trPr>
          <w:trHeight w:val="227" w:hRule="atLeast"/>
        </w:trPr>
        <w:tc>
          <w:tcPr>
            <w:tcW w:w="4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sz w:val="18"/>
                <w:szCs w:val="22"/>
              </w:rPr>
            </w:pPr>
            <w:r>
              <w:rPr>
                <w:rFonts w:cs="Calibri" w:ascii="Calibri" w:hAnsi="Calibri"/>
                <w:sz w:val="18"/>
                <w:szCs w:val="22"/>
              </w:rPr>
              <w:t>C28.3 Percentuale di ricoveri Hospice di malati con patologia oncologica con periodo di ricovero &gt;= 30 gg</w:t>
            </w:r>
          </w:p>
        </w:tc>
        <w:tc>
          <w:tcPr>
            <w:tcW w:w="853"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sz w:val="18"/>
                <w:szCs w:val="22"/>
              </w:rPr>
            </w:pPr>
            <w:r>
              <w:rPr>
                <w:rFonts w:cs="Calibri" w:ascii="Calibri" w:hAnsi="Calibri"/>
                <w:sz w:val="18"/>
                <w:szCs w:val="22"/>
              </w:rPr>
              <w:t>10</w:t>
            </w:r>
          </w:p>
        </w:tc>
        <w:tc>
          <w:tcPr>
            <w:tcW w:w="848"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sz w:val="18"/>
                <w:szCs w:val="22"/>
              </w:rPr>
            </w:pPr>
            <w:r>
              <w:rPr>
                <w:rFonts w:cs="Calibri" w:ascii="Calibri" w:hAnsi="Calibri"/>
                <w:sz w:val="18"/>
                <w:szCs w:val="22"/>
              </w:rPr>
              <w:t>8,86</w:t>
            </w:r>
          </w:p>
        </w:tc>
        <w:tc>
          <w:tcPr>
            <w:tcW w:w="994" w:type="dxa"/>
            <w:tcBorders>
              <w:bottom w:val="single" w:sz="4" w:space="0" w:color="000000"/>
              <w:right w:val="single" w:sz="4" w:space="0" w:color="000000"/>
            </w:tcBorders>
            <w:shd w:color="000000" w:fill="00B050" w:val="clear"/>
            <w:vAlign w:val="bottom"/>
          </w:tcPr>
          <w:p>
            <w:pPr>
              <w:pStyle w:val="Normal"/>
              <w:widowControl w:val="false"/>
              <w:suppressAutoHyphens w:val="false"/>
              <w:jc w:val="center"/>
              <w:rPr>
                <w:rFonts w:ascii="Calibri" w:hAnsi="Calibri" w:cs="Calibri"/>
                <w:sz w:val="18"/>
                <w:szCs w:val="22"/>
              </w:rPr>
            </w:pPr>
            <w:r>
              <w:rPr>
                <w:rFonts w:cs="Calibri" w:ascii="Calibri" w:hAnsi="Calibri"/>
                <w:sz w:val="18"/>
                <w:szCs w:val="22"/>
              </w:rPr>
              <w:t>4,11</w:t>
            </w:r>
          </w:p>
        </w:tc>
        <w:tc>
          <w:tcPr>
            <w:tcW w:w="709"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sz w:val="18"/>
                <w:szCs w:val="22"/>
              </w:rPr>
            </w:pPr>
            <w:r>
              <w:rPr>
                <w:rFonts w:cs="Calibri" w:ascii="Calibri" w:hAnsi="Calibri"/>
                <w:sz w:val="18"/>
                <w:szCs w:val="22"/>
              </w:rPr>
              <w:t>11,39</w:t>
            </w:r>
          </w:p>
        </w:tc>
        <w:tc>
          <w:tcPr>
            <w:tcW w:w="565" w:type="dxa"/>
            <w:tcBorders>
              <w:bottom w:val="single" w:sz="4" w:space="0" w:color="000000"/>
              <w:right w:val="single" w:sz="4" w:space="0" w:color="000000"/>
            </w:tcBorders>
            <w:shd w:color="auto" w:fill="auto" w:val="clear"/>
            <w:vAlign w:val="bottom"/>
          </w:tcPr>
          <w:p>
            <w:pPr>
              <w:pStyle w:val="Normal"/>
              <w:widowControl w:val="false"/>
              <w:suppressAutoHyphens w:val="false"/>
              <w:jc w:val="center"/>
              <w:rPr>
                <w:rFonts w:ascii="Calibri" w:hAnsi="Calibri" w:cs="Calibri"/>
                <w:sz w:val="18"/>
                <w:szCs w:val="22"/>
              </w:rPr>
            </w:pPr>
            <w:r>
              <w:rPr>
                <w:rFonts w:cs="Calibri" w:ascii="Calibri" w:hAnsi="Calibri"/>
                <w:sz w:val="18"/>
                <w:szCs w:val="22"/>
              </w:rPr>
              <w:t>-0,42</w:t>
            </w:r>
          </w:p>
        </w:tc>
        <w:tc>
          <w:tcPr>
            <w:tcW w:w="986" w:type="dxa"/>
            <w:tcBorders>
              <w:top w:val="single" w:sz="4" w:space="0" w:color="000000"/>
              <w:left w:val="single" w:sz="4" w:space="0" w:color="000000"/>
              <w:bottom w:val="single" w:sz="4" w:space="0" w:color="000000"/>
              <w:right w:val="single" w:sz="4" w:space="0" w:color="000000"/>
            </w:tcBorders>
            <w:shd w:color="auto" w:fill="00B050" w:val="clear"/>
            <w:vAlign w:val="bottom"/>
          </w:tcPr>
          <w:p>
            <w:pPr>
              <w:pStyle w:val="Normal"/>
              <w:widowControl w:val="false"/>
              <w:suppressAutoHyphens w:val="false"/>
              <w:jc w:val="center"/>
              <w:rPr>
                <w:rFonts w:ascii="Calibri" w:hAnsi="Calibri" w:cs="Calibri" w:asciiTheme="minorHAnsi" w:cstheme="minorHAnsi" w:hAnsiTheme="minorHAnsi"/>
                <w:color w:val="000000"/>
                <w:sz w:val="18"/>
                <w:szCs w:val="18"/>
              </w:rPr>
            </w:pPr>
            <w:r>
              <w:rPr>
                <w:rFonts w:cs="Calibri" w:ascii="Calibri" w:hAnsi="Calibri" w:asciiTheme="minorHAnsi" w:cstheme="minorHAnsi" w:hAnsiTheme="minorHAnsi"/>
                <w:color w:val="000000"/>
                <w:sz w:val="18"/>
                <w:szCs w:val="18"/>
              </w:rPr>
              <w:t>Ottimo</w:t>
            </w:r>
          </w:p>
        </w:tc>
      </w:tr>
    </w:tbl>
    <w:p>
      <w:pPr>
        <w:pStyle w:val="Normal"/>
        <w:rPr/>
      </w:pPr>
      <w:r>
        <w:rPr/>
      </w:r>
    </w:p>
    <w:p>
      <w:pPr>
        <w:pStyle w:val="Normal"/>
        <w:rPr/>
      </w:pPr>
      <w:r>
        <w:rPr/>
      </w:r>
    </w:p>
    <w:p>
      <w:pPr>
        <w:pStyle w:val="Normal"/>
        <w:rPr>
          <w:rFonts w:ascii="Calibri" w:hAnsi="Calibri" w:cs="Calibri" w:asciiTheme="minorHAnsi" w:cstheme="minorHAnsi" w:hAnsiTheme="minorHAnsi"/>
          <w:b/>
          <w:b/>
          <w:sz w:val="22"/>
        </w:rPr>
      </w:pPr>
      <w:r>
        <w:rPr>
          <w:rFonts w:cs="Calibri" w:ascii="Calibri" w:hAnsi="Calibri" w:asciiTheme="minorHAnsi" w:cstheme="minorHAnsi" w:hAnsiTheme="minorHAnsi"/>
          <w:b/>
          <w:sz w:val="22"/>
        </w:rPr>
        <w:t>Tabella 31b. Indicatori MES ricorso all’Hospice e cure palliative in AUSL Toscana Centro, anno 2022</w:t>
      </w:r>
    </w:p>
    <w:tbl>
      <w:tblPr>
        <w:tblW w:w="9633" w:type="dxa"/>
        <w:jc w:val="left"/>
        <w:tblInd w:w="-5" w:type="dxa"/>
        <w:tblLayout w:type="fixed"/>
        <w:tblCellMar>
          <w:top w:w="0" w:type="dxa"/>
          <w:left w:w="70" w:type="dxa"/>
          <w:bottom w:w="0" w:type="dxa"/>
          <w:right w:w="70" w:type="dxa"/>
        </w:tblCellMar>
        <w:tblLook w:firstRow="1" w:noVBand="1" w:lastRow="0" w:firstColumn="1" w:lastColumn="0" w:noHBand="0" w:val="04a0"/>
      </w:tblPr>
      <w:tblGrid>
        <w:gridCol w:w="4821"/>
        <w:gridCol w:w="709"/>
        <w:gridCol w:w="848"/>
        <w:gridCol w:w="994"/>
        <w:gridCol w:w="709"/>
        <w:gridCol w:w="709"/>
        <w:gridCol w:w="842"/>
      </w:tblGrid>
      <w:tr>
        <w:trPr>
          <w:trHeight w:val="227" w:hRule="atLeast"/>
        </w:trPr>
        <w:tc>
          <w:tcPr>
            <w:tcW w:w="48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sz w:val="18"/>
                <w:szCs w:val="22"/>
              </w:rPr>
            </w:pPr>
            <w:r>
              <w:rPr>
                <w:rFonts w:cs="Calibri" w:ascii="Calibri" w:hAnsi="Calibri"/>
                <w:b/>
                <w:sz w:val="18"/>
                <w:szCs w:val="22"/>
              </w:rPr>
              <w:t>Indicatore</w:t>
            </w:r>
          </w:p>
        </w:tc>
        <w:tc>
          <w:tcPr>
            <w:tcW w:w="709"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6"/>
                <w:szCs w:val="16"/>
              </w:rPr>
            </w:pPr>
            <w:r>
              <w:rPr>
                <w:rFonts w:cs="Calibri" w:ascii="Calibri" w:hAnsi="Calibri"/>
                <w:b/>
                <w:sz w:val="16"/>
                <w:szCs w:val="22"/>
              </w:rPr>
              <w:t>Valore 2021</w:t>
            </w:r>
          </w:p>
        </w:tc>
        <w:tc>
          <w:tcPr>
            <w:tcW w:w="848"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6"/>
                <w:szCs w:val="16"/>
              </w:rPr>
            </w:pPr>
            <w:r>
              <w:rPr>
                <w:rFonts w:cs="Calibri" w:ascii="Calibri" w:hAnsi="Calibri"/>
                <w:b/>
                <w:sz w:val="16"/>
                <w:szCs w:val="22"/>
              </w:rPr>
              <w:t>Valore 2022</w:t>
            </w:r>
          </w:p>
        </w:tc>
        <w:tc>
          <w:tcPr>
            <w:tcW w:w="994"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b/>
                <w:b/>
                <w:bCs/>
                <w:color w:val="000000"/>
                <w:sz w:val="16"/>
                <w:szCs w:val="16"/>
              </w:rPr>
            </w:pPr>
            <w:r>
              <w:rPr>
                <w:rFonts w:cs="Calibri" w:ascii="Calibri" w:hAnsi="Calibri"/>
                <w:b/>
                <w:sz w:val="16"/>
                <w:szCs w:val="22"/>
              </w:rPr>
              <w:t>Valutazione 2022</w:t>
            </w:r>
          </w:p>
        </w:tc>
        <w:tc>
          <w:tcPr>
            <w:tcW w:w="709"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6"/>
                <w:szCs w:val="16"/>
              </w:rPr>
            </w:pPr>
            <w:r>
              <w:rPr>
                <w:rFonts w:cs="Calibri" w:ascii="Calibri" w:hAnsi="Calibri"/>
                <w:b/>
                <w:sz w:val="16"/>
                <w:szCs w:val="22"/>
              </w:rPr>
              <w:t>Δ (%)</w:t>
            </w:r>
          </w:p>
        </w:tc>
        <w:tc>
          <w:tcPr>
            <w:tcW w:w="709"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6"/>
                <w:szCs w:val="16"/>
              </w:rPr>
            </w:pPr>
            <w:r>
              <w:rPr>
                <w:rFonts w:cs="Calibri" w:ascii="Calibri" w:hAnsi="Calibri"/>
                <w:b/>
                <w:sz w:val="16"/>
                <w:szCs w:val="22"/>
              </w:rPr>
              <w:t>Δ CV</w:t>
            </w:r>
          </w:p>
        </w:tc>
        <w:tc>
          <w:tcPr>
            <w:tcW w:w="842"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6"/>
                <w:szCs w:val="16"/>
              </w:rPr>
            </w:pPr>
            <w:r>
              <w:rPr>
                <w:rFonts w:cs="Calibri" w:ascii="Calibri" w:hAnsi="Calibri"/>
                <w:b/>
                <w:sz w:val="16"/>
                <w:szCs w:val="22"/>
              </w:rPr>
              <w:t>Variabilità</w:t>
            </w:r>
          </w:p>
        </w:tc>
      </w:tr>
      <w:tr>
        <w:trPr>
          <w:trHeight w:val="227" w:hRule="atLeast"/>
        </w:trPr>
        <w:tc>
          <w:tcPr>
            <w:tcW w:w="4821"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sz w:val="18"/>
                <w:szCs w:val="22"/>
              </w:rPr>
            </w:pPr>
            <w:r>
              <w:rPr>
                <w:rFonts w:cs="Calibri" w:ascii="Calibri" w:hAnsi="Calibri"/>
                <w:sz w:val="18"/>
                <w:szCs w:val="22"/>
              </w:rPr>
              <w:t>D30Z Numero deceduti per causa di tumore assistiti dalla Rete di cure palliative sul numero deceduti per causa di tumore</w:t>
            </w:r>
          </w:p>
        </w:tc>
        <w:tc>
          <w:tcPr>
            <w:tcW w:w="70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themeColor="text1"/>
                <w:sz w:val="16"/>
                <w:szCs w:val="22"/>
              </w:rPr>
            </w:pPr>
            <w:r>
              <w:rPr>
                <w:rFonts w:cs="Calibri" w:ascii="Calibri" w:hAnsi="Calibri"/>
                <w:color w:val="000000" w:themeColor="text1"/>
                <w:sz w:val="16"/>
                <w:szCs w:val="22"/>
              </w:rPr>
              <w:t>33,35</w:t>
            </w:r>
          </w:p>
        </w:tc>
        <w:tc>
          <w:tcPr>
            <w:tcW w:w="84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themeColor="text1"/>
                <w:sz w:val="16"/>
                <w:szCs w:val="22"/>
              </w:rPr>
            </w:pPr>
            <w:r>
              <w:rPr>
                <w:rFonts w:cs="Calibri" w:ascii="Calibri" w:hAnsi="Calibri"/>
                <w:color w:val="000000" w:themeColor="text1"/>
                <w:sz w:val="16"/>
                <w:szCs w:val="22"/>
              </w:rPr>
              <w:t>37,83</w:t>
            </w:r>
          </w:p>
        </w:tc>
        <w:tc>
          <w:tcPr>
            <w:tcW w:w="994" w:type="dxa"/>
            <w:tcBorders>
              <w:bottom w:val="single" w:sz="4" w:space="0" w:color="000000"/>
              <w:right w:val="single" w:sz="4" w:space="0" w:color="000000"/>
            </w:tcBorders>
            <w:shd w:color="auto" w:fill="92D050" w:val="clear"/>
            <w:vAlign w:val="center"/>
          </w:tcPr>
          <w:p>
            <w:pPr>
              <w:pStyle w:val="Normal"/>
              <w:widowControl w:val="false"/>
              <w:suppressAutoHyphens w:val="false"/>
              <w:jc w:val="center"/>
              <w:rPr>
                <w:rFonts w:ascii="Calibri" w:hAnsi="Calibri" w:cs="Calibri"/>
                <w:color w:val="000000" w:themeColor="text1"/>
                <w:sz w:val="16"/>
                <w:szCs w:val="22"/>
              </w:rPr>
            </w:pPr>
            <w:r>
              <w:rPr>
                <w:rFonts w:cs="Calibri" w:ascii="Calibri" w:hAnsi="Calibri"/>
                <w:color w:val="000000" w:themeColor="text1"/>
                <w:sz w:val="16"/>
                <w:szCs w:val="22"/>
              </w:rPr>
              <w:t>3,14</w:t>
            </w:r>
          </w:p>
        </w:tc>
        <w:tc>
          <w:tcPr>
            <w:tcW w:w="70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themeColor="text1"/>
                <w:sz w:val="16"/>
                <w:szCs w:val="22"/>
              </w:rPr>
            </w:pPr>
            <w:r>
              <w:rPr>
                <w:rFonts w:cs="Calibri" w:ascii="Calibri" w:hAnsi="Calibri"/>
                <w:color w:val="000000" w:themeColor="text1"/>
                <w:sz w:val="16"/>
                <w:szCs w:val="22"/>
              </w:rPr>
              <w:t>13,44</w:t>
            </w:r>
          </w:p>
        </w:tc>
        <w:tc>
          <w:tcPr>
            <w:tcW w:w="70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themeColor="text1"/>
                <w:sz w:val="16"/>
                <w:szCs w:val="22"/>
              </w:rPr>
            </w:pPr>
            <w:r>
              <w:rPr>
                <w:rFonts w:cs="Calibri" w:ascii="Calibri" w:hAnsi="Calibri"/>
                <w:color w:val="000000" w:themeColor="text1"/>
                <w:sz w:val="16"/>
                <w:szCs w:val="22"/>
              </w:rPr>
              <w:t>-0,15</w:t>
            </w:r>
          </w:p>
        </w:tc>
        <w:tc>
          <w:tcPr>
            <w:tcW w:w="842" w:type="dxa"/>
            <w:tcBorders>
              <w:top w:val="single" w:sz="4" w:space="0" w:color="000000"/>
              <w:left w:val="single" w:sz="4" w:space="0" w:color="000000"/>
              <w:bottom w:val="single" w:sz="4" w:space="0" w:color="000000"/>
              <w:right w:val="single" w:sz="4" w:space="0" w:color="000000"/>
            </w:tcBorders>
            <w:shd w:color="auto" w:fill="00B050" w:val="clear"/>
            <w:vAlign w:val="center"/>
          </w:tcPr>
          <w:p>
            <w:pPr>
              <w:pStyle w:val="Normal"/>
              <w:widowControl w:val="false"/>
              <w:suppressAutoHyphens w:val="false"/>
              <w:jc w:val="center"/>
              <w:rPr>
                <w:rFonts w:ascii="Calibri" w:hAnsi="Calibri" w:cs="Calibri"/>
                <w:color w:val="000000" w:themeColor="text1"/>
                <w:sz w:val="16"/>
                <w:szCs w:val="22"/>
              </w:rPr>
            </w:pPr>
            <w:r>
              <w:rPr>
                <w:rFonts w:cs="Calibri" w:ascii="Calibri" w:hAnsi="Calibri"/>
                <w:color w:val="000000" w:themeColor="text1"/>
                <w:sz w:val="16"/>
                <w:szCs w:val="22"/>
              </w:rPr>
              <w:t>Ottimo</w:t>
            </w:r>
          </w:p>
        </w:tc>
      </w:tr>
      <w:tr>
        <w:trPr>
          <w:trHeight w:val="227" w:hRule="atLeast"/>
        </w:trPr>
        <w:tc>
          <w:tcPr>
            <w:tcW w:w="4821"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sz w:val="18"/>
                <w:szCs w:val="22"/>
              </w:rPr>
            </w:pPr>
            <w:r>
              <w:rPr>
                <w:rFonts w:cs="Calibri" w:ascii="Calibri" w:hAnsi="Calibri"/>
                <w:sz w:val="18"/>
                <w:szCs w:val="22"/>
              </w:rPr>
              <w:t>D32Z N. di ricoveri in Hospice di pazienti oncologici provenienti dall'ospedale o da domicilio NON assistito con periodo di ricovero &lt;= 7gg</w:t>
            </w:r>
          </w:p>
        </w:tc>
        <w:tc>
          <w:tcPr>
            <w:tcW w:w="70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themeColor="text1"/>
                <w:sz w:val="16"/>
                <w:szCs w:val="22"/>
              </w:rPr>
            </w:pPr>
            <w:r>
              <w:rPr>
                <w:rFonts w:cs="Calibri" w:ascii="Calibri" w:hAnsi="Calibri"/>
                <w:color w:val="000000" w:themeColor="text1"/>
                <w:sz w:val="16"/>
                <w:szCs w:val="22"/>
              </w:rPr>
              <w:t>37,31</w:t>
            </w:r>
          </w:p>
        </w:tc>
        <w:tc>
          <w:tcPr>
            <w:tcW w:w="848"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themeColor="text1"/>
                <w:sz w:val="16"/>
                <w:szCs w:val="22"/>
              </w:rPr>
            </w:pPr>
            <w:r>
              <w:rPr>
                <w:rFonts w:cs="Calibri" w:ascii="Calibri" w:hAnsi="Calibri"/>
                <w:color w:val="000000" w:themeColor="text1"/>
                <w:sz w:val="16"/>
                <w:szCs w:val="22"/>
              </w:rPr>
              <w:t>39,65</w:t>
            </w:r>
          </w:p>
        </w:tc>
        <w:tc>
          <w:tcPr>
            <w:tcW w:w="994" w:type="dxa"/>
            <w:tcBorders>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color w:val="000000" w:themeColor="text1"/>
                <w:sz w:val="16"/>
                <w:szCs w:val="22"/>
              </w:rPr>
            </w:pPr>
            <w:r>
              <w:rPr>
                <w:rFonts w:cs="Calibri" w:ascii="Calibri" w:hAnsi="Calibri"/>
                <w:color w:val="000000" w:themeColor="text1"/>
                <w:sz w:val="16"/>
                <w:szCs w:val="22"/>
              </w:rPr>
              <w:t>0,52</w:t>
            </w:r>
          </w:p>
        </w:tc>
        <w:tc>
          <w:tcPr>
            <w:tcW w:w="70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themeColor="text1"/>
                <w:sz w:val="16"/>
                <w:szCs w:val="22"/>
              </w:rPr>
            </w:pPr>
            <w:r>
              <w:rPr>
                <w:rFonts w:cs="Calibri" w:ascii="Calibri" w:hAnsi="Calibri"/>
                <w:color w:val="000000" w:themeColor="text1"/>
                <w:sz w:val="16"/>
                <w:szCs w:val="22"/>
              </w:rPr>
              <w:t>-6,27</w:t>
            </w:r>
          </w:p>
        </w:tc>
        <w:tc>
          <w:tcPr>
            <w:tcW w:w="709"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Calibri" w:hAnsi="Calibri" w:cs="Calibri"/>
                <w:color w:val="000000" w:themeColor="text1"/>
                <w:sz w:val="16"/>
                <w:szCs w:val="22"/>
              </w:rPr>
            </w:pPr>
            <w:r>
              <w:rPr>
                <w:rFonts w:cs="Calibri" w:ascii="Calibri" w:hAnsi="Calibri"/>
                <w:color w:val="000000" w:themeColor="text1"/>
                <w:sz w:val="16"/>
                <w:szCs w:val="22"/>
              </w:rPr>
              <w:t>-0,38</w:t>
            </w:r>
          </w:p>
        </w:tc>
        <w:tc>
          <w:tcPr>
            <w:tcW w:w="842" w:type="dxa"/>
            <w:tcBorders>
              <w:top w:val="single" w:sz="4" w:space="0" w:color="000000"/>
              <w:left w:val="single" w:sz="4" w:space="0" w:color="000000"/>
              <w:bottom w:val="single" w:sz="4" w:space="0" w:color="000000"/>
              <w:right w:val="single" w:sz="4" w:space="0" w:color="000000"/>
            </w:tcBorders>
            <w:shd w:color="auto" w:fill="C00000" w:val="clear"/>
            <w:vAlign w:val="center"/>
          </w:tcPr>
          <w:p>
            <w:pPr>
              <w:pStyle w:val="Normal"/>
              <w:widowControl w:val="false"/>
              <w:suppressAutoHyphens w:val="false"/>
              <w:jc w:val="center"/>
              <w:rPr>
                <w:rFonts w:ascii="Calibri" w:hAnsi="Calibri" w:cs="Calibri"/>
                <w:color w:val="000000" w:themeColor="text1"/>
                <w:sz w:val="16"/>
                <w:szCs w:val="22"/>
              </w:rPr>
            </w:pPr>
            <w:r>
              <w:rPr>
                <w:rFonts w:cs="Calibri" w:ascii="Calibri" w:hAnsi="Calibri"/>
                <w:color w:val="000000" w:themeColor="text1"/>
                <w:sz w:val="16"/>
                <w:szCs w:val="22"/>
              </w:rPr>
              <w:t>Criticità</w:t>
            </w:r>
          </w:p>
        </w:tc>
      </w:tr>
    </w:tbl>
    <w:p>
      <w:pPr>
        <w:pStyle w:val="Normal"/>
        <w:rPr/>
      </w:pPr>
      <w:r>
        <w:rPr/>
      </w:r>
    </w:p>
    <w:p>
      <w:pPr>
        <w:pStyle w:val="Normal"/>
        <w:spacing w:lineRule="auto" w:line="276"/>
        <w:rPr>
          <w:rFonts w:ascii="Calibri" w:hAnsi="Calibri" w:cs="Calibri"/>
          <w:sz w:val="22"/>
          <w:szCs w:val="22"/>
        </w:rPr>
      </w:pPr>
      <w:r>
        <w:rPr>
          <w:rFonts w:cs="Calibri" w:ascii="Calibri" w:hAnsi="Calibri"/>
          <w:sz w:val="22"/>
          <w:szCs w:val="22"/>
        </w:rPr>
        <w:t>L’azienda è impegnata nel favorire questo percorso attraverso la sensibilizzazione dei professionisti all’utilizzo delle cure di fine vita.</w:t>
      </w:r>
    </w:p>
    <w:p>
      <w:pPr>
        <w:pStyle w:val="Normal"/>
        <w:rPr/>
      </w:pPr>
      <w:r>
        <w:rPr/>
      </w:r>
      <w:r>
        <w:br w:type="page"/>
      </w:r>
    </w:p>
    <w:p>
      <w:pPr>
        <w:pStyle w:val="Titoloprincipale"/>
        <w:numPr>
          <w:ilvl w:val="0"/>
          <w:numId w:val="1"/>
        </w:numPr>
        <w:spacing w:lineRule="atLeast" w:line="320" w:before="0" w:after="120"/>
        <w:ind w:left="0" w:hanging="0"/>
        <w:jc w:val="left"/>
        <w:rPr>
          <w:rFonts w:ascii="Calibri" w:hAnsi="Calibri" w:cs="Calibri"/>
          <w:sz w:val="28"/>
          <w:szCs w:val="28"/>
        </w:rPr>
      </w:pPr>
      <w:bookmarkStart w:id="38" w:name="_Toc152228356"/>
      <w:r>
        <w:rPr>
          <w:rFonts w:cs="Calibri" w:ascii="Calibri" w:hAnsi="Calibri"/>
          <w:sz w:val="28"/>
          <w:szCs w:val="28"/>
        </w:rPr>
        <w:t>ASSISTENZA FARMACEUTICA</w:t>
      </w:r>
      <w:bookmarkEnd w:id="38"/>
      <w:r>
        <w:rPr>
          <w:rFonts w:cs="Calibri" w:ascii="Calibri" w:hAnsi="Calibri"/>
          <w:sz w:val="28"/>
          <w:szCs w:val="28"/>
        </w:rPr>
        <w:t xml:space="preserve"> </w:t>
      </w:r>
      <w:bookmarkStart w:id="39" w:name="_Toc40088924"/>
      <w:bookmarkEnd w:id="39"/>
    </w:p>
    <w:p>
      <w:pPr>
        <w:pStyle w:val="Normal"/>
        <w:spacing w:lineRule="atLeast" w:line="320" w:before="0" w:after="120"/>
        <w:jc w:val="both"/>
        <w:rPr>
          <w:rFonts w:ascii="Calibri" w:hAnsi="Calibri" w:cs="Calibri"/>
          <w:color w:val="231F20"/>
          <w:sz w:val="22"/>
          <w:szCs w:val="22"/>
        </w:rPr>
      </w:pPr>
      <w:r>
        <w:rPr>
          <w:rFonts w:cs="Calibri" w:ascii="Calibri" w:hAnsi="Calibri"/>
          <w:color w:val="231F20"/>
          <w:sz w:val="22"/>
          <w:szCs w:val="22"/>
        </w:rPr>
        <w:t>Il 2022 si è caratterizzato per la graduale ripresa delle attività specialistiche in corrispondenza della cessata emergenza Covid, che ha determinato un generale aumento dei consumi di farmaci sia in regime di ricovero che in ambito territoriale.</w:t>
      </w:r>
    </w:p>
    <w:p>
      <w:pPr>
        <w:pStyle w:val="Normal"/>
        <w:spacing w:lineRule="atLeast" w:line="320" w:before="0" w:after="120"/>
        <w:jc w:val="both"/>
        <w:rPr>
          <w:rFonts w:ascii="Calibri" w:hAnsi="Calibri" w:cs="Calibri"/>
          <w:color w:val="231F20"/>
          <w:sz w:val="22"/>
          <w:szCs w:val="22"/>
        </w:rPr>
      </w:pPr>
      <w:r>
        <w:rPr>
          <w:rFonts w:cs="Calibri" w:ascii="Calibri" w:hAnsi="Calibri"/>
          <w:color w:val="231F20"/>
          <w:sz w:val="22"/>
          <w:szCs w:val="22"/>
        </w:rPr>
        <w:t>La maggiore affluenza degli assisti agli Ospedali per la ripresa delle attività ha generato un aumento dei costi per i farmaci somministrati in regime di ricovero pari all’8,1%, riferiti soprattutto ai trattamenti oncologici (+14%) e all’estensione del loro utilizzo per nuove indicazioni terapeutiche. In aumento anche il consumo degli antibiotici soprattutto quelli di ultima generazione, in diminuzione invece i farmaci per il trattamento del Covid (-74,5%)</w:t>
      </w:r>
    </w:p>
    <w:p>
      <w:pPr>
        <w:pStyle w:val="Normal"/>
        <w:spacing w:lineRule="atLeast" w:line="320" w:before="0" w:after="120"/>
        <w:jc w:val="both"/>
        <w:rPr>
          <w:rFonts w:ascii="Calibri" w:hAnsi="Calibri" w:cs="Calibri"/>
          <w:color w:val="231F20"/>
          <w:sz w:val="22"/>
          <w:szCs w:val="22"/>
        </w:rPr>
      </w:pPr>
      <w:r>
        <w:rPr>
          <w:rFonts w:cs="Calibri" w:ascii="Calibri" w:hAnsi="Calibri"/>
          <w:color w:val="231F20"/>
          <w:sz w:val="22"/>
          <w:szCs w:val="22"/>
        </w:rPr>
        <w:t xml:space="preserve">Nel 2022 sono state inoltre interrotte quelle azioni strategiche adottate nel periodo della pandemia Covid tese a ridurre al minimo gli accessi dei pazienti dentro gli ospedali come, ad esempio, riportare i farmaci ex-OSP2 dalla DPC svolta dalle farmacie di comunità territoriali alla distribuzione diretta delle farmacie ospedaliere. </w:t>
      </w:r>
    </w:p>
    <w:p>
      <w:pPr>
        <w:pStyle w:val="Normal"/>
        <w:spacing w:lineRule="atLeast" w:line="320" w:before="0" w:after="120"/>
        <w:jc w:val="both"/>
        <w:rPr>
          <w:rFonts w:ascii="Calibri" w:hAnsi="Calibri" w:cs="Calibri"/>
          <w:color w:val="231F20"/>
          <w:sz w:val="22"/>
          <w:szCs w:val="22"/>
        </w:rPr>
      </w:pPr>
      <w:r>
        <w:rPr>
          <w:rFonts w:cs="Calibri" w:ascii="Calibri" w:hAnsi="Calibri"/>
          <w:color w:val="231F20"/>
          <w:sz w:val="22"/>
          <w:szCs w:val="22"/>
        </w:rPr>
        <w:t xml:space="preserve">Sicuramente i maggiori incrementi di spesa sono stati quelli a carico dell’erogazione dei farmaci consumati al domicilio dei pazienti, in particolare di quei trattamenti ad esclusiva distribuzione diretta che fanno registrare un aumento dei costi del 5,3%. </w:t>
      </w:r>
    </w:p>
    <w:p>
      <w:pPr>
        <w:pStyle w:val="Normal"/>
        <w:spacing w:lineRule="atLeast" w:line="320" w:before="0" w:after="120"/>
        <w:jc w:val="both"/>
        <w:rPr>
          <w:rFonts w:ascii="Calibri" w:hAnsi="Calibri" w:cs="Calibri"/>
          <w:color w:val="231F20"/>
          <w:sz w:val="22"/>
          <w:szCs w:val="22"/>
        </w:rPr>
      </w:pPr>
      <w:r>
        <w:rPr>
          <w:rFonts w:cs="Calibri" w:ascii="Calibri" w:hAnsi="Calibri"/>
          <w:color w:val="231F20"/>
          <w:sz w:val="22"/>
          <w:szCs w:val="22"/>
        </w:rPr>
        <w:t>Si evidenzia che la distribuzione diretta della ASL TC è gravata anche dalla spesa indotta dalle prescrizioni di clinici afferenti ad altre Aziende Sanitarie e Ospedaliere limitrofe, in particolare la maggior incidenza (47%) è quella generata dai medici della AOU Careggi, a seguire la spesa indotta dai medici della ASL TC (34%) e della AOU Meyer (9%).</w:t>
      </w:r>
    </w:p>
    <w:p>
      <w:pPr>
        <w:pStyle w:val="Normal"/>
        <w:spacing w:lineRule="atLeast" w:line="320" w:before="0" w:after="120"/>
        <w:jc w:val="both"/>
        <w:rPr>
          <w:rFonts w:ascii="Calibri" w:hAnsi="Calibri" w:cs="Calibri"/>
          <w:color w:val="231F20"/>
          <w:sz w:val="22"/>
          <w:szCs w:val="22"/>
        </w:rPr>
      </w:pPr>
      <w:r>
        <w:rPr>
          <w:rFonts w:cs="Calibri" w:ascii="Calibri" w:hAnsi="Calibri"/>
          <w:color w:val="231F20"/>
          <w:sz w:val="22"/>
          <w:szCs w:val="22"/>
        </w:rPr>
        <w:t xml:space="preserve">I maggiori incrementi di spesa sono riferibili ai </w:t>
        <w:tab/>
        <w:t>farmaci utilizzati per il trattamento della fibrosi cistica (+ 99,9%) per l’immissione in commercio di nuovi medicinali ad altissimo costo, quasi totalmente prescritti dagli specialisti della AOU Meyer. Un forte aumento (+17%) della spesa si registra anche per i farmaci assunti da pazienti residenti affetti da Malattie Rare che sono quasi totalmente seguiti dagli specialisti delle aziende ospedaliere di Area Vasta Centro e limitrofe. Fra le voci di spesa che registrano i maggiori incrementi si evidenzia l’anticorpo monoclonale dupilumab utilizzato in ambito dermatologico e allergologico e i medicinali di più recente introduzione in commercio per il trattamento dei disturbi ostruttivi delle vie respiratorie (omalizumab, mepolizumab, roflumilast e benralizumab).</w:t>
      </w:r>
    </w:p>
    <w:p>
      <w:pPr>
        <w:pStyle w:val="Normal"/>
        <w:spacing w:lineRule="atLeast" w:line="320" w:before="0" w:after="120"/>
        <w:jc w:val="both"/>
        <w:rPr>
          <w:rFonts w:ascii="Calibri" w:hAnsi="Calibri" w:cs="Calibri"/>
          <w:color w:val="231F20"/>
          <w:sz w:val="22"/>
          <w:szCs w:val="22"/>
        </w:rPr>
      </w:pPr>
      <w:r>
        <w:rPr>
          <w:rFonts w:cs="Calibri" w:ascii="Calibri" w:hAnsi="Calibri"/>
          <w:color w:val="231F20"/>
          <w:sz w:val="22"/>
          <w:szCs w:val="22"/>
        </w:rPr>
        <w:t>Per quanto riguarda la DPC è da evidenziare il forte incremento dei consumi e della spesa dei nuovi farmaci per il trattamento del diabete (inibitori SGLT2, Agonisti recettoriali GLP1, inibitori DPP4 e le associazioni precostituite) che, a seguito dell’introduzione della Nota limitativa AIFA 100 (26/1/2022), sono diventati prescrivibili anche dalla Medicina Generale e quindi largamente utilizzati nella popolazione diabetica secondo i criteri stabiliti dalle Linee Guida nazionali ed internazionali. Lo stesso fenomeno si registra anche per i farmaci anticoagulanti NAO, che prima dell’introduzione della Nota limitativa AIFA 97 (Determina AIFA 12/06/2020), erano ad esclusiva prescrizione specialistica per diventare poi prescrivibili anche dai medici curanti.</w:t>
      </w:r>
    </w:p>
    <w:p>
      <w:pPr>
        <w:pStyle w:val="Normal"/>
        <w:spacing w:lineRule="atLeast" w:line="320" w:before="0" w:after="120"/>
        <w:jc w:val="both"/>
        <w:rPr>
          <w:rFonts w:ascii="Calibri" w:hAnsi="Calibri" w:cs="Calibri"/>
          <w:color w:val="231F20"/>
          <w:sz w:val="22"/>
          <w:szCs w:val="22"/>
        </w:rPr>
      </w:pPr>
      <w:r>
        <w:rPr>
          <w:rFonts w:cs="Calibri" w:ascii="Calibri" w:hAnsi="Calibri"/>
          <w:color w:val="231F20"/>
          <w:sz w:val="22"/>
          <w:szCs w:val="22"/>
        </w:rPr>
        <w:t xml:space="preserve">La spesa farmaceutica convenzionata, largamente rappresentata dai trattamenti farmacologici per le patologie croniche, ha registrato nel 2022 un aumento dei consumi del 2,2% a dimostrazione di una netta ripresa delle attività anche in questo ambito di cura. </w:t>
      </w:r>
    </w:p>
    <w:p>
      <w:pPr>
        <w:pStyle w:val="Normal"/>
        <w:spacing w:lineRule="atLeast" w:line="320" w:before="0" w:after="120"/>
        <w:jc w:val="both"/>
        <w:rPr>
          <w:rFonts w:ascii="Calibri" w:hAnsi="Calibri" w:cs="Calibri"/>
          <w:color w:val="231F20"/>
          <w:sz w:val="22"/>
          <w:szCs w:val="22"/>
        </w:rPr>
      </w:pPr>
      <w:r>
        <w:rPr>
          <w:rFonts w:cs="Calibri" w:ascii="Calibri" w:hAnsi="Calibri"/>
          <w:color w:val="231F20"/>
          <w:sz w:val="22"/>
          <w:szCs w:val="22"/>
        </w:rPr>
        <w:t xml:space="preserve">Nel 2022 per tenere la spesa farmaceutica sotto controllo e fronteggiare gli inevitabili aumenti relativi alla ripresa delle attività specialistiche, molte sono state le strategie adottate dalla regione che sono state prontamente condivise a livello aziendale sia con i medici prescrittori che con ogni altra figura sanitaria coinvolta nel raggiungimento degli obiettivi prefissati. </w:t>
      </w:r>
    </w:p>
    <w:p>
      <w:pPr>
        <w:pStyle w:val="Normal"/>
        <w:spacing w:lineRule="atLeast" w:line="320" w:before="0" w:after="120"/>
        <w:jc w:val="both"/>
        <w:rPr>
          <w:rFonts w:ascii="Calibri" w:hAnsi="Calibri" w:cs="Calibri"/>
          <w:color w:val="231F20"/>
          <w:sz w:val="22"/>
          <w:szCs w:val="22"/>
        </w:rPr>
      </w:pPr>
      <w:r>
        <w:rPr>
          <w:rFonts w:cs="Calibri" w:ascii="Calibri" w:hAnsi="Calibri"/>
          <w:color w:val="231F20"/>
          <w:sz w:val="22"/>
          <w:szCs w:val="22"/>
        </w:rPr>
        <w:t xml:space="preserve">Come ogni anno anche nel 2022 nella ASL TC è stato possibile portare avanti il processo di </w:t>
      </w:r>
      <w:r>
        <w:rPr>
          <w:rFonts w:cs="Calibri" w:ascii="Calibri" w:hAnsi="Calibri"/>
          <w:i/>
          <w:color w:val="231F20"/>
          <w:sz w:val="22"/>
          <w:szCs w:val="22"/>
        </w:rPr>
        <w:t>governance farmaceutica</w:t>
      </w:r>
      <w:r>
        <w:rPr>
          <w:rFonts w:cs="Calibri" w:ascii="Calibri" w:hAnsi="Calibri"/>
          <w:color w:val="231F20"/>
          <w:sz w:val="22"/>
          <w:szCs w:val="22"/>
        </w:rPr>
        <w:t xml:space="preserve"> aziendale assegnando nelle schede di budget degli specialisti e nell’ Accordo attuativo della Medicina Generale la spesa farmaceutica attribuita dalla Regione e le azioni di appropriatezza prescrittiva quale strumento indispensabile per il rispetto dei tetti di spesa assegnati.</w:t>
      </w:r>
    </w:p>
    <w:p>
      <w:pPr>
        <w:pStyle w:val="Normal"/>
        <w:spacing w:lineRule="atLeast" w:line="320" w:before="0" w:after="120"/>
        <w:jc w:val="both"/>
        <w:rPr>
          <w:rFonts w:ascii="Calibri" w:hAnsi="Calibri" w:cs="Calibri"/>
          <w:color w:val="231F20"/>
          <w:sz w:val="22"/>
          <w:szCs w:val="22"/>
        </w:rPr>
      </w:pPr>
      <w:r>
        <w:rPr>
          <w:rFonts w:cs="Calibri" w:ascii="Calibri" w:hAnsi="Calibri"/>
          <w:color w:val="231F20"/>
          <w:sz w:val="22"/>
          <w:szCs w:val="22"/>
        </w:rPr>
        <w:t>Si riportano di seguito le fasi salienti del processo:</w:t>
      </w:r>
    </w:p>
    <w:p>
      <w:pPr>
        <w:pStyle w:val="ListParagraph"/>
        <w:widowControl/>
        <w:numPr>
          <w:ilvl w:val="0"/>
          <w:numId w:val="6"/>
        </w:numPr>
        <w:suppressAutoHyphens w:val="false"/>
        <w:spacing w:lineRule="atLeast" w:line="320" w:before="0" w:after="120"/>
        <w:jc w:val="both"/>
        <w:rPr>
          <w:rFonts w:ascii="Calibri" w:hAnsi="Calibri" w:eastAsia="Calibri,Bold" w:cs="Calibri"/>
          <w:lang w:val="it-IT"/>
        </w:rPr>
      </w:pPr>
      <w:r>
        <w:rPr>
          <w:rFonts w:eastAsia="Calibri,Bold" w:cs="Calibri" w:ascii="Calibri" w:hAnsi="Calibri"/>
          <w:lang w:val="it-IT"/>
        </w:rPr>
        <w:t>attribuzione di budget economici sia di spesa territoriale (convenzionata, distribuzione diretta e DPC) che di consumo interno ospedaliero a tutte le Strutture afferenti ai Dipartimenti clinici</w:t>
      </w:r>
    </w:p>
    <w:p>
      <w:pPr>
        <w:pStyle w:val="ListParagraph"/>
        <w:widowControl/>
        <w:numPr>
          <w:ilvl w:val="0"/>
          <w:numId w:val="6"/>
        </w:numPr>
        <w:suppressAutoHyphens w:val="false"/>
        <w:spacing w:lineRule="atLeast" w:line="320" w:before="0" w:after="120"/>
        <w:jc w:val="both"/>
        <w:rPr>
          <w:rFonts w:ascii="Calibri" w:hAnsi="Calibri" w:eastAsia="Calibri,Bold" w:cs="Calibri"/>
          <w:lang w:val="it-IT"/>
        </w:rPr>
      </w:pPr>
      <w:r>
        <w:rPr>
          <w:rFonts w:eastAsia="Calibri,Bold" w:cs="Calibri" w:ascii="Calibri" w:hAnsi="Calibri"/>
          <w:lang w:val="it-IT"/>
        </w:rPr>
        <w:t>attribuzione nella scheda di budget di obiettivi specifici di appropriatezza prescrittiva sia regionali che aziendali</w:t>
      </w:r>
    </w:p>
    <w:p>
      <w:pPr>
        <w:pStyle w:val="ListParagraph"/>
        <w:widowControl/>
        <w:numPr>
          <w:ilvl w:val="0"/>
          <w:numId w:val="6"/>
        </w:numPr>
        <w:suppressAutoHyphens w:val="false"/>
        <w:spacing w:lineRule="atLeast" w:line="320" w:before="0" w:after="120"/>
        <w:jc w:val="both"/>
        <w:rPr>
          <w:rFonts w:ascii="Calibri" w:hAnsi="Calibri" w:eastAsia="Calibri,Bold" w:cs="Calibri"/>
          <w:lang w:val="it-IT"/>
        </w:rPr>
      </w:pPr>
      <w:r>
        <w:rPr>
          <w:rFonts w:eastAsia="Calibri,Bold" w:cs="Calibri" w:ascii="Calibri" w:hAnsi="Calibri"/>
          <w:lang w:val="it-IT"/>
        </w:rPr>
        <w:t>assegnazione</w:t>
      </w:r>
      <w:r>
        <w:rPr>
          <w:lang w:val="it-IT"/>
        </w:rPr>
        <w:t xml:space="preserve"> </w:t>
      </w:r>
      <w:r>
        <w:rPr>
          <w:rFonts w:eastAsia="Calibri,Bold" w:cs="Calibri" w:ascii="Calibri" w:hAnsi="Calibri"/>
          <w:lang w:val="it-IT"/>
        </w:rPr>
        <w:t xml:space="preserve">alla Medicina Generale nell’Accordo attuativo aziendale di un budget relativo alla spesa generata dalle loro prescrizioni riguardo alla farmaceutica convenzionata e alla DPC e di un obiettivo strettamente legato al monitoraggio delle azioni di appropriatezza prescrittiva territoriali </w:t>
      </w:r>
    </w:p>
    <w:p>
      <w:pPr>
        <w:pStyle w:val="ListParagraph"/>
        <w:widowControl/>
        <w:numPr>
          <w:ilvl w:val="0"/>
          <w:numId w:val="6"/>
        </w:numPr>
        <w:suppressAutoHyphens w:val="false"/>
        <w:spacing w:lineRule="atLeast" w:line="320" w:before="0" w:after="120"/>
        <w:jc w:val="both"/>
        <w:rPr>
          <w:rFonts w:ascii="Calibri" w:hAnsi="Calibri" w:eastAsia="Calibri,Bold" w:cs="Calibri"/>
          <w:lang w:val="it-IT"/>
        </w:rPr>
      </w:pPr>
      <w:r>
        <w:rPr>
          <w:rFonts w:eastAsia="Calibri,Bold" w:cs="Calibri" w:ascii="Calibri" w:hAnsi="Calibri"/>
          <w:lang w:val="it-IT"/>
        </w:rPr>
        <w:t>individuazione di Progetti aziendali con il coinvolgimento della Medicina Generale e degli Specialisti al fine di omogenizzare le modalità prescrittive di alcune categorie terapeutiche (farmaci per il trattamento del Diabete, anticoagulanti orali, eparine, antibiotici) e garantire la Continuità Ospedale-Territorio</w:t>
      </w:r>
    </w:p>
    <w:p>
      <w:pPr>
        <w:pStyle w:val="ListParagraph"/>
        <w:widowControl/>
        <w:numPr>
          <w:ilvl w:val="0"/>
          <w:numId w:val="6"/>
        </w:numPr>
        <w:suppressAutoHyphens w:val="false"/>
        <w:spacing w:lineRule="atLeast" w:line="320" w:before="0" w:after="120"/>
        <w:jc w:val="both"/>
        <w:rPr>
          <w:rFonts w:ascii="Calibri" w:hAnsi="Calibri" w:eastAsia="Calibri,Bold" w:cs="Calibri"/>
          <w:lang w:val="it-IT"/>
        </w:rPr>
      </w:pPr>
      <w:r>
        <w:rPr>
          <w:rFonts w:eastAsia="Calibri,Bold" w:cs="Calibri" w:ascii="Calibri" w:hAnsi="Calibri"/>
          <w:lang w:val="it-IT"/>
        </w:rPr>
        <w:t>condivisione con i clinici degli obiettivi sia economici che sanitari attraverso audit svolti, sempre più in presenza anziché on line, per favorire la diffusione dell’informazione sull’uso dei farmaci</w:t>
      </w:r>
    </w:p>
    <w:p>
      <w:pPr>
        <w:pStyle w:val="Normal"/>
        <w:suppressAutoHyphens w:val="false"/>
        <w:jc w:val="both"/>
        <w:rPr>
          <w:rFonts w:ascii="Calibri" w:hAnsi="Calibri" w:cs="Calibri"/>
          <w:sz w:val="22"/>
          <w:szCs w:val="22"/>
        </w:rPr>
      </w:pPr>
      <w:r>
        <w:rPr>
          <w:rFonts w:cs="Calibri" w:ascii="Calibri" w:hAnsi="Calibri"/>
          <w:sz w:val="22"/>
          <w:szCs w:val="22"/>
        </w:rPr>
        <w:t>In virtù dell’applicazione delle azioni di appropriatezza nel 2022 a livello aziendale sono stati risparmiati 13,8 M euro che sono serviti solo in parte a bilanciare gli aumenti di spesa generati dalla ripresa delle attività.</w:t>
      </w:r>
    </w:p>
    <w:p>
      <w:pPr>
        <w:pStyle w:val="Normal"/>
        <w:suppressAutoHyphens w:val="false"/>
        <w:rPr>
          <w:rFonts w:ascii="Calibri" w:hAnsi="Calibri" w:cs="Calibri"/>
          <w:sz w:val="22"/>
          <w:szCs w:val="22"/>
        </w:rPr>
      </w:pPr>
      <w:r>
        <w:rPr>
          <w:rFonts w:cs="Calibri" w:ascii="Calibri" w:hAnsi="Calibri"/>
          <w:sz w:val="22"/>
          <w:szCs w:val="22"/>
        </w:rPr>
      </w:r>
      <w:r>
        <w:br w:type="page"/>
      </w:r>
    </w:p>
    <w:p>
      <w:pPr>
        <w:pStyle w:val="Titoloprincipale"/>
        <w:numPr>
          <w:ilvl w:val="0"/>
          <w:numId w:val="1"/>
        </w:numPr>
        <w:spacing w:lineRule="atLeast" w:line="320" w:before="0" w:after="120"/>
        <w:ind w:left="0" w:hanging="0"/>
        <w:jc w:val="left"/>
        <w:rPr>
          <w:rFonts w:ascii="Calibri" w:hAnsi="Calibri" w:cs="Calibri"/>
          <w:sz w:val="28"/>
          <w:szCs w:val="28"/>
        </w:rPr>
      </w:pPr>
      <w:bookmarkStart w:id="40" w:name="_Toc152228357"/>
      <w:r>
        <w:rPr>
          <w:rFonts w:cs="Calibri" w:ascii="Calibri" w:hAnsi="Calibri"/>
          <w:sz w:val="28"/>
          <w:szCs w:val="28"/>
        </w:rPr>
        <w:t>SERVIZI SOCIALI ED INTEGRAZIONE SOCIASANITARIA</w:t>
      </w:r>
      <w:bookmarkEnd w:id="40"/>
      <w:r>
        <w:rPr>
          <w:rFonts w:cs="Calibri" w:ascii="Calibri" w:hAnsi="Calibri"/>
          <w:sz w:val="28"/>
          <w:szCs w:val="28"/>
        </w:rPr>
        <w:t xml:space="preserve"> </w:t>
      </w:r>
    </w:p>
    <w:p>
      <w:pPr>
        <w:pStyle w:val="Default"/>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Il DPCM del 12 gennaio 2017 “</w:t>
      </w:r>
      <w:r>
        <w:rPr>
          <w:rFonts w:cs="Calibri" w:ascii="Calibri" w:hAnsi="Calibri" w:asciiTheme="minorHAnsi" w:cstheme="minorHAnsi" w:hAnsiTheme="minorHAnsi"/>
          <w:i/>
          <w:iCs/>
          <w:sz w:val="22"/>
          <w:szCs w:val="22"/>
        </w:rPr>
        <w:t>Definizione e aggiornamento dei livelli essenziali di assistenza, di cui all’art. 1, comma 7, del D.Lgs. 502/1992</w:t>
      </w:r>
      <w:r>
        <w:rPr>
          <w:rFonts w:cs="Calibri" w:ascii="Calibri" w:hAnsi="Calibri" w:asciiTheme="minorHAnsi" w:cstheme="minorHAnsi" w:hAnsiTheme="minorHAnsi"/>
          <w:sz w:val="22"/>
          <w:szCs w:val="22"/>
        </w:rPr>
        <w:t>”, di aggiornamento del precedente DPCM 14 febbraio 2001, indica per quali bisogni ed in favore di quali cittadini è garantita la presa in carico sociosanitaria e descrive anche gli ambiti di attività ed i regimi assistenziali (domicilio, ambulatorio, residenza, centro diurno) nei quali sono erogate le prestazioni sanitarie (mediche, infermieristiche, psicologiche, riabilitative, etc.), integrate con le prestazioni sociali:</w:t>
      </w:r>
    </w:p>
    <w:p>
      <w:pPr>
        <w:pStyle w:val="Default"/>
        <w:jc w:val="both"/>
        <w:rPr>
          <w:rFonts w:ascii="Calibri" w:hAnsi="Calibri" w:cs="Calibri" w:asciiTheme="minorHAnsi" w:cstheme="minorHAnsi" w:hAnsiTheme="minorHAnsi"/>
          <w:sz w:val="22"/>
          <w:szCs w:val="22"/>
        </w:rPr>
      </w:pPr>
      <w:r>
        <w:rPr>
          <w:rFonts w:cs="Calibri" w:cstheme="minorHAnsi" w:ascii="Calibri" w:hAnsi="Calibri"/>
          <w:sz w:val="22"/>
          <w:szCs w:val="22"/>
        </w:rPr>
      </w:r>
    </w:p>
    <w:p>
      <w:pPr>
        <w:pStyle w:val="Default"/>
        <w:numPr>
          <w:ilvl w:val="0"/>
          <w:numId w:val="7"/>
        </w:numPr>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Persone con malattie croniche e non autosufficienti (incluse le demenze) </w:t>
      </w:r>
    </w:p>
    <w:p>
      <w:pPr>
        <w:pStyle w:val="Default"/>
        <w:numPr>
          <w:ilvl w:val="0"/>
          <w:numId w:val="7"/>
        </w:numPr>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Persone in fine vita </w:t>
      </w:r>
    </w:p>
    <w:p>
      <w:pPr>
        <w:pStyle w:val="Default"/>
        <w:numPr>
          <w:ilvl w:val="0"/>
          <w:numId w:val="7"/>
        </w:numPr>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Persone con patologie di salute mentale </w:t>
      </w:r>
    </w:p>
    <w:p>
      <w:pPr>
        <w:pStyle w:val="Default"/>
        <w:numPr>
          <w:ilvl w:val="0"/>
          <w:numId w:val="7"/>
        </w:numPr>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Persone minori di età con patologie psichiatriche e del neuro sviluppo </w:t>
      </w:r>
    </w:p>
    <w:p>
      <w:pPr>
        <w:pStyle w:val="Default"/>
        <w:numPr>
          <w:ilvl w:val="0"/>
          <w:numId w:val="7"/>
        </w:numPr>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Persone con dipendenze patologiche </w:t>
      </w:r>
    </w:p>
    <w:p>
      <w:pPr>
        <w:pStyle w:val="Default"/>
        <w:numPr>
          <w:ilvl w:val="0"/>
          <w:numId w:val="7"/>
        </w:numPr>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Persone con disabilità.</w:t>
      </w:r>
      <w:r>
        <w:rPr>
          <w:rFonts w:cs="Calibri" w:ascii="Calibri" w:hAnsi="Calibri" w:asciiTheme="minorHAnsi" w:cstheme="minorHAnsi" w:hAnsiTheme="minorHAnsi"/>
          <w:sz w:val="20"/>
          <w:szCs w:val="20"/>
        </w:rPr>
        <w:t xml:space="preserve"> </w:t>
      </w:r>
    </w:p>
    <w:p>
      <w:pPr>
        <w:pStyle w:val="Default"/>
        <w:jc w:val="both"/>
        <w:rPr>
          <w:rFonts w:ascii="Calibri" w:hAnsi="Calibri" w:cs="Calibri" w:asciiTheme="minorHAnsi" w:cstheme="minorHAnsi" w:hAnsiTheme="minorHAnsi"/>
          <w:sz w:val="22"/>
          <w:szCs w:val="22"/>
        </w:rPr>
      </w:pPr>
      <w:r>
        <w:rPr>
          <w:rFonts w:cs="Calibri" w:cstheme="minorHAnsi" w:ascii="Calibri" w:hAnsi="Calibri"/>
          <w:sz w:val="22"/>
          <w:szCs w:val="22"/>
        </w:rPr>
      </w:r>
    </w:p>
    <w:p>
      <w:pPr>
        <w:pStyle w:val="Default"/>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Come previsto dal suddetto DPCM, in base alle specifiche condizioni e allo stato di bisogno, oltre che di salute delle persone, le prestazioni ed i servizi per la presa in carico potranno essere erogati in forma intensiva o estensiva, oppure mirare al semplice mantenimento dello stato di salute della persona e delle sue capacità funzionali e di lungoassistenza. </w:t>
      </w:r>
    </w:p>
    <w:p>
      <w:pPr>
        <w:pStyle w:val="Default"/>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In base al modello Toscano, l’integrazione sociasanitaria viene garantita attraverso due modelli organizzativi: la Società della Salute (SdS, artt. 71 bis ss l.r. 40/2005 ss.mm. ii.) o la Convenzione per l’esercizio delle funzioni di integrazione sociosanitaria (art. 70 bis l.r. 40/2005 ss.mm. ii.). </w:t>
      </w:r>
    </w:p>
    <w:p>
      <w:pPr>
        <w:pStyle w:val="Default"/>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Ne consegue che, oltre all’azienda sanitaria, le Società della Salute e le Zone Distretto rivestono un ruolo centrale nella programmazione, organizzazione e nella gestione delle attività sociosanitarie. </w:t>
      </w:r>
    </w:p>
    <w:p>
      <w:pPr>
        <w:pStyle w:val="Default"/>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Nel territorio di competenza dell’Azienda Usl Toscana Centro ci sono 8 SdS (Firenze, Fiorentina Nord Ovest, Fiorentina Sud Est, Mugello, Pistoiese, Pratese, Valdinievole, Empolese Valdarno Valdelsa), le quali contribuiscono alla responsabilità dell’attuazione dei percorsi diagnostico terapeutico assistenziali sociali (PDTAS) che coinvolgono sia i dipartimenti aziendali che, in alcuni casi, gli enti locali (Comuni e Unioni dei Comuni) attraverso le SdS. Tali percorsi, organizzati e finanziati a livello zonale, si realizzano in modo coordinato e complesso secondo una modalità a matrice con i dipartimenti aziendali interessati (DGRT 269/2019). </w:t>
      </w:r>
    </w:p>
    <w:p>
      <w:pPr>
        <w:pStyle w:val="Default"/>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L’integrazione tra SdS e Dipartimenti aziendali costituisce uno snodo centrale nella qualità e nell’appropriatezza dei servizi sociosanitari erogati sul territorio. Per questo motivo, a seguito della riforma sanitaria toscana e della costituzione dell’Azienda Usl Toscana Centro, si è reso opportuno creare sinergie  grazie all’organizzazione di incontri mensili strutturati e collaborazioni tra dipartimenti aziendali e le Società della Salute/Zone Distretto, attivando modalità di confronto sulle diverse realtà, frutto di storie e di contesti differenti, prevedendo da un lato profili di armonizzazione e dall’altro modalità di valorizzazione delle differenze zonali. </w:t>
      </w:r>
    </w:p>
    <w:p>
      <w:pPr>
        <w:pStyle w:val="Default"/>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Tale collaborazione, sviluppata anche grazie all’ organizzazione di incontri mensili fra i Direttori SdS e la Direzione Servizi Sociali, ai quali partecipano anche i Dipartimenti aziendali in base all’odg, hanno determinato:</w:t>
      </w:r>
    </w:p>
    <w:p>
      <w:pPr>
        <w:pStyle w:val="Default"/>
        <w:jc w:val="both"/>
        <w:rPr>
          <w:rFonts w:ascii="Calibri" w:hAnsi="Calibri" w:cs="Calibri" w:asciiTheme="minorHAnsi" w:cstheme="minorHAnsi" w:hAnsiTheme="minorHAnsi"/>
          <w:sz w:val="22"/>
          <w:szCs w:val="22"/>
        </w:rPr>
      </w:pPr>
      <w:r>
        <w:rPr>
          <w:rFonts w:cs="Calibri" w:cstheme="minorHAnsi" w:ascii="Calibri" w:hAnsi="Calibri"/>
          <w:sz w:val="22"/>
          <w:szCs w:val="22"/>
        </w:rPr>
      </w:r>
    </w:p>
    <w:p>
      <w:pPr>
        <w:pStyle w:val="Default"/>
        <w:numPr>
          <w:ilvl w:val="0"/>
          <w:numId w:val="8"/>
        </w:numPr>
        <w:jc w:val="both"/>
        <w:rPr>
          <w:rFonts w:ascii="Calibri" w:hAnsi="Calibri" w:cs="Calibri" w:asciiTheme="minorHAnsi" w:cstheme="minorHAnsi" w:hAnsiTheme="minorHAnsi"/>
          <w:color w:val="auto"/>
          <w:sz w:val="22"/>
          <w:szCs w:val="22"/>
        </w:rPr>
      </w:pPr>
      <w:r>
        <w:rPr>
          <w:rFonts w:cs="Calibri" w:ascii="Calibri" w:hAnsi="Calibri" w:asciiTheme="minorHAnsi" w:cstheme="minorHAnsi" w:hAnsiTheme="minorHAnsi"/>
          <w:b/>
          <w:bCs/>
          <w:color w:val="auto"/>
          <w:sz w:val="22"/>
          <w:szCs w:val="22"/>
        </w:rPr>
        <w:t xml:space="preserve">Programmazione Integrata Territoriale trasversale alle 8 SdS/ZD - </w:t>
      </w:r>
      <w:r>
        <w:rPr>
          <w:rFonts w:cs="Calibri" w:ascii="Calibri" w:hAnsi="Calibri" w:asciiTheme="minorHAnsi" w:cstheme="minorHAnsi" w:hAnsiTheme="minorHAnsi"/>
          <w:color w:val="auto"/>
          <w:sz w:val="22"/>
          <w:szCs w:val="22"/>
        </w:rPr>
        <w:t>L’Azienda e le SdS hanno lavorato ai Piani Operativi Annuali (POA), sia a livello dei singoli ambiti zonali, che in modo coordinato tra loro attraverso “l’Ufficio di Piano Aziendale”. Gli atti di programmazione zonale della ASL Toscana Centro, infatti, sono caratterizzati dalla presenza di un nucleo comune e traversale a tutte le zone, condiviso con i dipartimenti aziendali coinvolti nei servizi sanitari e sociosanitari territoriali, in un’ottica di matrice ex DGRT 269/2019. La “quota trasversale di bacino aziendale” del POA si intreccia e si arricchisce con le specificità e le progettualità degli ambiti territoriali, delle SdS e con i PIZ che sono parte integrante della programmazione (Tabella 32).</w:t>
      </w:r>
    </w:p>
    <w:p>
      <w:pPr>
        <w:pStyle w:val="Default"/>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Normal"/>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Normal"/>
        <w:rPr>
          <w:rFonts w:ascii="Calibri" w:hAnsi="Calibri" w:cs="Calibri" w:asciiTheme="minorHAnsi" w:cstheme="minorHAnsi" w:hAnsiTheme="minorHAnsi"/>
          <w:b/>
          <w:b/>
          <w:bCs/>
          <w:sz w:val="22"/>
          <w:szCs w:val="22"/>
        </w:rPr>
      </w:pPr>
      <w:r>
        <w:rPr>
          <w:rFonts w:cs="Calibri" w:ascii="Calibri" w:hAnsi="Calibri" w:asciiTheme="minorHAnsi" w:cstheme="minorHAnsi" w:hAnsiTheme="minorHAnsi"/>
          <w:b/>
          <w:bCs/>
          <w:sz w:val="22"/>
          <w:szCs w:val="22"/>
        </w:rPr>
        <w:t>Tabella 32. Schede di programmazione trasversale dell’AUSL Toscana Centro</w:t>
      </w:r>
    </w:p>
    <w:p>
      <w:pPr>
        <w:pStyle w:val="Default"/>
        <w:rPr>
          <w:rFonts w:ascii="Calibri" w:hAnsi="Calibri" w:cs="Calibri" w:asciiTheme="minorHAnsi" w:cstheme="minorHAnsi" w:hAnsiTheme="minorHAnsi"/>
          <w:sz w:val="22"/>
          <w:szCs w:val="22"/>
        </w:rPr>
      </w:pPr>
      <w:r>
        <w:rPr>
          <w:rFonts w:cs="Calibri" w:cstheme="minorHAnsi" w:ascii="Calibri" w:hAnsi="Calibri"/>
          <w:sz w:val="22"/>
          <w:szCs w:val="22"/>
        </w:rPr>
      </w:r>
    </w:p>
    <w:p>
      <w:pPr>
        <w:pStyle w:val="Default"/>
        <w:rPr>
          <w:rFonts w:ascii="Calibri" w:hAnsi="Calibri" w:cs="Calibri" w:asciiTheme="minorHAnsi" w:cstheme="minorHAnsi" w:hAnsiTheme="minorHAnsi"/>
          <w:sz w:val="22"/>
          <w:szCs w:val="22"/>
        </w:rPr>
      </w:pPr>
      <w:r>
        <w:rPr/>
        <w:drawing>
          <wp:inline distT="0" distB="0" distL="0" distR="0">
            <wp:extent cx="6120130" cy="4962525"/>
            <wp:effectExtent l="0" t="0" r="0" b="0"/>
            <wp:docPr id="35"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2" descr=""/>
                    <pic:cNvPicPr>
                      <a:picLocks noChangeAspect="1" noChangeArrowheads="1"/>
                    </pic:cNvPicPr>
                  </pic:nvPicPr>
                  <pic:blipFill>
                    <a:blip r:embed="rId33"/>
                    <a:stretch>
                      <a:fillRect/>
                    </a:stretch>
                  </pic:blipFill>
                  <pic:spPr bwMode="auto">
                    <a:xfrm>
                      <a:off x="0" y="0"/>
                      <a:ext cx="6120130" cy="4962525"/>
                    </a:xfrm>
                    <a:prstGeom prst="rect">
                      <a:avLst/>
                    </a:prstGeom>
                  </pic:spPr>
                </pic:pic>
              </a:graphicData>
            </a:graphic>
          </wp:inline>
        </w:drawing>
      </w:r>
    </w:p>
    <w:p>
      <w:pPr>
        <w:pStyle w:val="Normal"/>
        <w:rPr>
          <w:rFonts w:ascii="Calibri" w:hAnsi="Calibri" w:cs="Calibri" w:asciiTheme="minorHAnsi" w:cstheme="minorHAnsi" w:hAnsiTheme="minorHAnsi"/>
          <w:color w:val="000000"/>
        </w:rPr>
      </w:pPr>
      <w:r>
        <w:rPr>
          <w:rFonts w:cs="Calibri" w:cstheme="minorHAnsi" w:ascii="Calibri" w:hAnsi="Calibri"/>
          <w:color w:val="000000"/>
        </w:rPr>
      </w:r>
    </w:p>
    <w:p>
      <w:pPr>
        <w:pStyle w:val="Normal"/>
        <w:numPr>
          <w:ilvl w:val="0"/>
          <w:numId w:val="9"/>
        </w:numPr>
        <w:suppressAutoHyphens w:val="false"/>
        <w:spacing w:before="0" w:after="70"/>
        <w:jc w:val="both"/>
        <w:rPr>
          <w:rFonts w:ascii="Calibri" w:hAnsi="Calibri" w:cs="Calibri" w:asciiTheme="minorHAnsi" w:cstheme="minorHAnsi" w:hAnsiTheme="minorHAnsi"/>
          <w:color w:val="000000"/>
        </w:rPr>
      </w:pPr>
      <w:r>
        <w:rPr>
          <w:rFonts w:eastAsia="Calibri" w:cs="Calibri" w:ascii="Calibri" w:hAnsi="Calibri" w:asciiTheme="minorHAnsi" w:cstheme="minorHAnsi" w:eastAsiaTheme="minorHAnsi" w:hAnsiTheme="minorHAnsi"/>
          <w:b/>
          <w:bCs/>
          <w:sz w:val="22"/>
          <w:szCs w:val="22"/>
          <w:lang w:eastAsia="en-US"/>
        </w:rPr>
        <w:t>Budget integrato Zona-Distretto / Dipartimenti</w:t>
      </w:r>
      <w:r>
        <w:rPr>
          <w:rFonts w:cs="Calibri" w:ascii="Calibri" w:hAnsi="Calibri" w:asciiTheme="minorHAnsi" w:cstheme="minorHAnsi" w:hAnsiTheme="minorHAnsi"/>
          <w:b/>
          <w:bCs/>
          <w:color w:val="000000"/>
        </w:rPr>
        <w:t xml:space="preserve"> </w:t>
      </w:r>
      <w:r>
        <w:rPr>
          <w:rFonts w:cs="Calibri" w:ascii="Calibri" w:hAnsi="Calibri" w:asciiTheme="minorHAnsi" w:cstheme="minorHAnsi" w:hAnsiTheme="minorHAnsi"/>
          <w:color w:val="000000"/>
        </w:rPr>
        <w:t xml:space="preserve">– il budget qualitativo è stato individuato con obiettivi sulla base di un’organizzazione matriciale tra zone-distretto e dipartimenti; gli obiettivi condivisi si basano principalmente sui contenuti della parte trasversale del POA. </w:t>
      </w:r>
    </w:p>
    <w:p>
      <w:pPr>
        <w:pStyle w:val="Normal"/>
        <w:numPr>
          <w:ilvl w:val="0"/>
          <w:numId w:val="9"/>
        </w:numPr>
        <w:suppressAutoHyphens w:val="false"/>
        <w:spacing w:before="0" w:after="70"/>
        <w:jc w:val="both"/>
        <w:rPr>
          <w:rFonts w:ascii="Calibri" w:hAnsi="Calibri" w:cs="Calibri" w:asciiTheme="minorHAnsi" w:cstheme="minorHAnsi" w:hAnsiTheme="minorHAnsi"/>
          <w:color w:val="000000"/>
        </w:rPr>
      </w:pPr>
      <w:r>
        <w:rPr>
          <w:rFonts w:eastAsia="Calibri" w:cs="Calibri" w:ascii="Calibri" w:hAnsi="Calibri" w:asciiTheme="minorHAnsi" w:cstheme="minorHAnsi" w:eastAsiaTheme="minorHAnsi" w:hAnsiTheme="minorHAnsi"/>
          <w:b/>
          <w:bCs/>
          <w:sz w:val="22"/>
          <w:szCs w:val="22"/>
          <w:lang w:eastAsia="en-US"/>
        </w:rPr>
        <w:t>Gestione diretta SdS</w:t>
      </w:r>
      <w:r>
        <w:rPr>
          <w:rFonts w:cs="Calibri" w:ascii="Calibri" w:hAnsi="Calibri" w:asciiTheme="minorHAnsi" w:cstheme="minorHAnsi" w:hAnsiTheme="minorHAnsi"/>
          <w:b/>
          <w:bCs/>
          <w:color w:val="000000"/>
        </w:rPr>
        <w:t xml:space="preserve"> </w:t>
      </w:r>
      <w:r>
        <w:rPr>
          <w:rFonts w:cs="Calibri" w:ascii="Calibri" w:hAnsi="Calibri" w:asciiTheme="minorHAnsi" w:cstheme="minorHAnsi" w:hAnsiTheme="minorHAnsi"/>
          <w:color w:val="000000"/>
        </w:rPr>
        <w:t>– il PSSIR indica i contenuti minimi, i tempi e le modalità con cui la SdS assicura la gestione diretta a partire dal 2021. Nel 2020 è stato elaborato il documento “</w:t>
      </w:r>
      <w:r>
        <w:rPr>
          <w:rFonts w:cs="Calibri" w:ascii="Calibri" w:hAnsi="Calibri" w:asciiTheme="minorHAnsi" w:cstheme="minorHAnsi" w:hAnsiTheme="minorHAnsi"/>
          <w:i/>
          <w:color w:val="000000"/>
        </w:rPr>
        <w:t>Schema di Accordo tra Azienda Usl Toscana Centro e Società della Salute per la gestione diretta e unitaria prevista dall’ art. 71 bis l.r. 40/2005 ss.mm. ii e dal PSSIR 2018-2020</w:t>
      </w:r>
      <w:r>
        <w:rPr>
          <w:rFonts w:cs="Calibri" w:ascii="Calibri" w:hAnsi="Calibri" w:asciiTheme="minorHAnsi" w:cstheme="minorHAnsi" w:hAnsiTheme="minorHAnsi"/>
          <w:color w:val="000000"/>
        </w:rPr>
        <w:t>” da un gruppo di lavoro composto dai dipartimenti aziendali interessati, condiviso dalle 8 SdS. Tale Accordo, con contenuti comuni, è stato sottoscritto dall’Azienda Usl Toscana Centro e dalle 8 Società della Salute presenti sul territorio.</w:t>
      </w:r>
    </w:p>
    <w:p>
      <w:pPr>
        <w:pStyle w:val="Normal"/>
        <w:numPr>
          <w:ilvl w:val="0"/>
          <w:numId w:val="9"/>
        </w:numPr>
        <w:tabs>
          <w:tab w:val="clear" w:pos="708"/>
          <w:tab w:val="left" w:pos="709" w:leader="none"/>
        </w:tabs>
        <w:suppressAutoHyphens w:val="false"/>
        <w:spacing w:before="0" w:after="70"/>
        <w:jc w:val="both"/>
        <w:rPr>
          <w:rFonts w:ascii="Calibri" w:hAnsi="Calibri" w:cs="Calibri" w:asciiTheme="minorHAnsi" w:cstheme="minorHAnsi" w:hAnsiTheme="minorHAnsi"/>
          <w:color w:val="000000"/>
        </w:rPr>
      </w:pPr>
      <w:r>
        <w:rPr>
          <w:rFonts w:eastAsia="Calibri" w:cs="Calibri" w:ascii="Calibri" w:hAnsi="Calibri" w:asciiTheme="minorHAnsi" w:cstheme="minorHAnsi" w:eastAsiaTheme="minorHAnsi" w:hAnsiTheme="minorHAnsi"/>
          <w:b/>
          <w:bCs/>
          <w:sz w:val="22"/>
          <w:szCs w:val="22"/>
          <w:lang w:eastAsia="en-US"/>
        </w:rPr>
        <w:t>Gestione Pandemia Covid 19 –</w:t>
      </w:r>
      <w:r>
        <w:rPr>
          <w:rFonts w:cs="Calibri" w:ascii="Calibri" w:hAnsi="Calibri" w:asciiTheme="minorHAnsi" w:cstheme="minorHAnsi" w:hAnsiTheme="minorHAnsi"/>
          <w:b/>
          <w:bCs/>
          <w:color w:val="000000"/>
        </w:rPr>
        <w:t xml:space="preserve"> </w:t>
      </w:r>
      <w:r>
        <w:rPr>
          <w:rFonts w:cs="Calibri" w:ascii="Calibri" w:hAnsi="Calibri" w:asciiTheme="minorHAnsi" w:cstheme="minorHAnsi" w:hAnsiTheme="minorHAnsi"/>
          <w:color w:val="000000"/>
        </w:rPr>
        <w:t xml:space="preserve">Le SdS e i Dipartimenti aziendali hanno proseguito il lavoro in sinergia e con condivisione continua sulla gestione pandemica, dall’ istituzione della Taskforce sociosanitaria ed il monitoraggio dei focolai in RSA, all’attuazione delle misure nelle strutture semiresidenziali anziani e disabili o all’organizzazione degli Hub vaccinali ecc. Fin dall’inizio della pandemia sono state redatte apposite Istruzioni Operative (edizioni n. 10) con l’obiettivo di supportare le strutture di ambito sociosanitario nella gestione di comportamenti e modalità operative coerenti con la normativa anti-contagio. È stata inoltre mantenuta la copertura di screening e di test antigenici rapidi con distribuzione alle strutture sociosanitarie. </w:t>
      </w:r>
    </w:p>
    <w:p>
      <w:pPr>
        <w:pStyle w:val="Normal"/>
        <w:numPr>
          <w:ilvl w:val="0"/>
          <w:numId w:val="9"/>
        </w:numPr>
        <w:suppressAutoHyphens w:val="false"/>
        <w:jc w:val="both"/>
        <w:rPr>
          <w:rFonts w:ascii="Calibri" w:hAnsi="Calibri" w:cs="Calibri" w:asciiTheme="minorHAnsi" w:cstheme="minorHAnsi" w:hAnsiTheme="minorHAnsi"/>
        </w:rPr>
      </w:pPr>
      <w:r>
        <w:rPr>
          <w:rFonts w:cs="Calibri" w:ascii="Calibri" w:hAnsi="Calibri" w:asciiTheme="minorHAnsi" w:cstheme="minorHAnsi" w:hAnsiTheme="minorHAnsi"/>
          <w:b/>
          <w:bCs/>
          <w:color w:val="000000"/>
        </w:rPr>
        <w:t xml:space="preserve">Il Servizio di Emergenza Urgenza Sociale (SEUS) </w:t>
      </w:r>
      <w:r>
        <w:rPr>
          <w:rFonts w:cs="Calibri" w:ascii="Calibri" w:hAnsi="Calibri" w:asciiTheme="minorHAnsi" w:cstheme="minorHAnsi" w:hAnsiTheme="minorHAnsi"/>
          <w:color w:val="000000"/>
        </w:rPr>
        <w:t>è un sistema di Pronto Intervento Sociale (PIS) che prevede, in sinergia tra Zone Distretto e Dipartimento dei Servizi Sociali, la gestione degli interventi di emergenza urgenza sociale, attivo 24 ore su 24 e 365 giorni su 365. L’attività del SEUS rappresenta quanto determinato come LEPS dal Piano Nazionale degli Interventi e dei Servizi Sociali 2021/2023. Dal 2018, ovvero dal momento in cui è partita la sperimentazione del servizio con buona parte delle SdS dell’Azienda USL Toscana Centro, si è sviluppato un progetto di carattere regionale che vede oggi coinvolte ben 14 zone della Regione Toscana, secondo quanto stabilito dalle linee guida nazionali sul Pronto Intervento Sociale. Ad oggi, il Dipartimento Servizi Sociali dell’Azienda Usl Toscana Centro svolge funzioni di coordinamento tecnico scientifico ed è inoltre presente una cabina di regia regionale (Figura 19, 20 e 21).</w:t>
      </w:r>
    </w:p>
    <w:p>
      <w:pPr>
        <w:pStyle w:val="Normal"/>
        <w:suppressAutoHyphens w:val="false"/>
        <w:rPr>
          <w:rFonts w:ascii="Calibri" w:hAnsi="Calibri" w:cs="Calibri" w:asciiTheme="minorHAnsi" w:cstheme="minorHAnsi" w:hAnsiTheme="minorHAnsi"/>
          <w:bCs/>
          <w:color w:val="000000"/>
          <w:sz w:val="16"/>
          <w:szCs w:val="16"/>
        </w:rPr>
      </w:pPr>
      <w:r>
        <w:rPr>
          <w:rFonts w:cs="Calibri" w:cstheme="minorHAnsi" w:ascii="Calibri" w:hAnsi="Calibri"/>
          <w:bCs/>
          <w:color w:val="000000"/>
          <w:sz w:val="16"/>
          <w:szCs w:val="16"/>
        </w:rPr>
      </w:r>
    </w:p>
    <w:p>
      <w:pPr>
        <w:pStyle w:val="Normal"/>
        <w:suppressAutoHyphens w:val="false"/>
        <w:rPr>
          <w:rFonts w:ascii="Calibri" w:hAnsi="Calibri" w:cs="Calibri" w:asciiTheme="minorHAnsi" w:cstheme="minorHAnsi" w:hAnsiTheme="minorHAnsi"/>
          <w:b/>
          <w:b/>
          <w:bCs/>
          <w:color w:val="000000"/>
          <w:sz w:val="22"/>
          <w:szCs w:val="16"/>
        </w:rPr>
      </w:pPr>
      <w:r>
        <w:rPr>
          <w:rFonts w:cs="Calibri" w:ascii="Calibri" w:hAnsi="Calibri" w:asciiTheme="minorHAnsi" w:cstheme="minorHAnsi" w:hAnsiTheme="minorHAnsi"/>
          <w:b/>
          <w:bCs/>
          <w:color w:val="000000"/>
          <w:sz w:val="22"/>
          <w:szCs w:val="16"/>
        </w:rPr>
        <w:t>Figura 19. Numero di persona per Zona/SDS di residenza, AULS TC anno 2022</w:t>
      </w:r>
    </w:p>
    <w:p>
      <w:pPr>
        <w:pStyle w:val="Normal"/>
        <w:suppressAutoHyphens w:val="false"/>
        <w:rPr>
          <w:rFonts w:ascii="Calibri" w:hAnsi="Calibri" w:cs="Calibri" w:asciiTheme="minorHAnsi" w:cstheme="minorHAnsi" w:hAnsiTheme="minorHAnsi"/>
          <w:bCs/>
          <w:color w:val="000000"/>
          <w:sz w:val="16"/>
          <w:szCs w:val="16"/>
        </w:rPr>
      </w:pPr>
      <w:r>
        <w:rPr/>
        <w:drawing>
          <wp:inline distT="0" distB="0" distL="0" distR="0">
            <wp:extent cx="4467225" cy="2676525"/>
            <wp:effectExtent l="0" t="0" r="0" b="0"/>
            <wp:docPr id="3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Normal"/>
        <w:suppressAutoHyphens w:val="false"/>
        <w:rPr>
          <w:rFonts w:ascii="Calibri" w:hAnsi="Calibri" w:cs="Calibri" w:asciiTheme="minorHAnsi" w:cstheme="minorHAnsi" w:hAnsiTheme="minorHAnsi"/>
          <w:bCs/>
          <w:color w:val="000000"/>
          <w:sz w:val="16"/>
          <w:szCs w:val="16"/>
        </w:rPr>
      </w:pPr>
      <w:r>
        <w:rPr>
          <w:rFonts w:cs="Calibri" w:cstheme="minorHAnsi" w:ascii="Calibri" w:hAnsi="Calibri"/>
          <w:bCs/>
          <w:color w:val="000000"/>
          <w:sz w:val="16"/>
          <w:szCs w:val="16"/>
        </w:rPr>
      </w:r>
    </w:p>
    <w:p>
      <w:pPr>
        <w:pStyle w:val="Normal"/>
        <w:suppressAutoHyphens w:val="false"/>
        <w:jc w:val="center"/>
        <w:rPr>
          <w:rFonts w:ascii="Calibri" w:hAnsi="Calibri" w:cs="Calibri" w:asciiTheme="minorHAnsi" w:cstheme="minorHAnsi" w:hAnsiTheme="minorHAnsi"/>
        </w:rPr>
      </w:pPr>
      <w:r>
        <w:rPr>
          <w:rFonts w:cs="Calibri" w:cstheme="minorHAnsi" w:ascii="Calibri" w:hAnsi="Calibri"/>
        </w:rPr>
      </w:r>
    </w:p>
    <w:p>
      <w:pPr>
        <w:pStyle w:val="Normal"/>
        <w:suppressAutoHyphens w:val="false"/>
        <w:rPr>
          <w:rFonts w:ascii="Calibri" w:hAnsi="Calibri" w:cs="Calibri" w:asciiTheme="minorHAnsi" w:cstheme="minorHAnsi" w:hAnsiTheme="minorHAnsi"/>
          <w:b/>
          <w:b/>
          <w:bCs/>
          <w:color w:val="000000"/>
          <w:sz w:val="22"/>
          <w:szCs w:val="16"/>
        </w:rPr>
      </w:pPr>
      <w:r>
        <w:rPr>
          <w:rFonts w:cs="Calibri" w:ascii="Calibri" w:hAnsi="Calibri" w:asciiTheme="minorHAnsi" w:cstheme="minorHAnsi" w:hAnsiTheme="minorHAnsi"/>
          <w:b/>
          <w:bCs/>
          <w:color w:val="000000"/>
          <w:sz w:val="22"/>
          <w:szCs w:val="16"/>
        </w:rPr>
        <w:t>Figura 20. Numero di segnalazioni per soggetto segnalante, AULS TC anno 2022</w:t>
      </w:r>
    </w:p>
    <w:p>
      <w:pPr>
        <w:pStyle w:val="Normal"/>
        <w:suppressAutoHyphens w:val="false"/>
        <w:rPr>
          <w:rFonts w:ascii="Calibri" w:hAnsi="Calibri" w:cs="Calibri" w:asciiTheme="minorHAnsi" w:cstheme="minorHAnsi" w:hAnsiTheme="minorHAnsi"/>
        </w:rPr>
      </w:pPr>
      <w:r>
        <w:rPr/>
        <w:drawing>
          <wp:inline distT="0" distB="0" distL="0" distR="0">
            <wp:extent cx="4524375" cy="2333625"/>
            <wp:effectExtent l="0" t="0" r="0" b="0"/>
            <wp:docPr id="3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Normal"/>
        <w:suppressAutoHyphens w:val="false"/>
        <w:rPr>
          <w:rFonts w:ascii="Calibri" w:hAnsi="Calibri" w:cs="Calibri" w:asciiTheme="minorHAnsi" w:cstheme="minorHAnsi" w:hAnsiTheme="minorHAnsi"/>
        </w:rPr>
      </w:pPr>
      <w:r>
        <w:rPr>
          <w:rFonts w:cs="Calibri" w:cstheme="minorHAnsi" w:ascii="Calibri" w:hAnsi="Calibri"/>
        </w:rPr>
      </w:r>
    </w:p>
    <w:p>
      <w:pPr>
        <w:pStyle w:val="Normal"/>
        <w:suppressAutoHyphens w:val="false"/>
        <w:rPr>
          <w:rFonts w:ascii="Calibri" w:hAnsi="Calibri" w:cs="Calibri" w:asciiTheme="minorHAnsi" w:cstheme="minorHAnsi" w:hAnsiTheme="minorHAnsi"/>
          <w:bCs/>
          <w:color w:val="000000"/>
          <w:sz w:val="16"/>
          <w:szCs w:val="16"/>
        </w:rPr>
      </w:pPr>
      <w:r>
        <w:rPr>
          <w:rFonts w:cs="Calibri" w:cstheme="minorHAnsi" w:ascii="Calibri" w:hAnsi="Calibri"/>
          <w:bCs/>
          <w:color w:val="000000"/>
          <w:sz w:val="16"/>
          <w:szCs w:val="16"/>
        </w:rPr>
      </w:r>
      <w:r>
        <w:br w:type="page"/>
      </w:r>
    </w:p>
    <w:p>
      <w:pPr>
        <w:pStyle w:val="Normal"/>
        <w:suppressAutoHyphens w:val="false"/>
        <w:rPr>
          <w:rFonts w:ascii="Calibri" w:hAnsi="Calibri" w:cs="Calibri" w:asciiTheme="minorHAnsi" w:cstheme="minorHAnsi" w:hAnsiTheme="minorHAnsi"/>
          <w:b/>
          <w:b/>
          <w:bCs/>
          <w:color w:val="000000"/>
          <w:sz w:val="22"/>
          <w:szCs w:val="16"/>
        </w:rPr>
      </w:pPr>
      <w:r>
        <w:rPr>
          <w:rFonts w:cs="Calibri" w:ascii="Calibri" w:hAnsi="Calibri" w:asciiTheme="minorHAnsi" w:cstheme="minorHAnsi" w:hAnsiTheme="minorHAnsi"/>
          <w:b/>
          <w:bCs/>
          <w:color w:val="000000"/>
          <w:sz w:val="22"/>
          <w:szCs w:val="16"/>
        </w:rPr>
        <w:t>Figura 21. Numero di interventi per tipologia, AULS TC anno 2022</w:t>
      </w:r>
    </w:p>
    <w:p>
      <w:pPr>
        <w:pStyle w:val="Normal"/>
        <w:suppressAutoHyphens w:val="false"/>
        <w:rPr>
          <w:rFonts w:ascii="Calibri" w:hAnsi="Calibri" w:cs="Calibri" w:asciiTheme="minorHAnsi" w:cstheme="minorHAnsi" w:hAnsiTheme="minorHAnsi"/>
          <w:bCs/>
          <w:color w:val="000000"/>
          <w:sz w:val="16"/>
          <w:szCs w:val="16"/>
        </w:rPr>
      </w:pPr>
      <w:r>
        <w:rPr>
          <w:rFonts w:cs="Calibri" w:cstheme="minorHAnsi" w:ascii="Calibri" w:hAnsi="Calibri"/>
          <w:bCs/>
          <w:color w:val="000000"/>
          <w:sz w:val="16"/>
          <w:szCs w:val="16"/>
        </w:rPr>
      </w:r>
    </w:p>
    <w:p>
      <w:pPr>
        <w:pStyle w:val="Default"/>
        <w:rPr>
          <w:rFonts w:ascii="Calibri" w:hAnsi="Calibri" w:cs="Calibri" w:asciiTheme="minorHAnsi" w:cstheme="minorHAnsi" w:hAnsiTheme="minorHAnsi"/>
          <w:color w:val="auto"/>
        </w:rPr>
      </w:pPr>
      <w:r>
        <w:rPr/>
        <w:drawing>
          <wp:inline distT="0" distB="0" distL="0" distR="0">
            <wp:extent cx="4572000" cy="2838450"/>
            <wp:effectExtent l="0" t="0" r="0" b="0"/>
            <wp:docPr id="3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Normal"/>
        <w:jc w:val="center"/>
        <w:rPr>
          <w:rFonts w:ascii="Calibri" w:hAnsi="Calibri" w:cs="Calibri" w:asciiTheme="minorHAnsi" w:cstheme="minorHAnsi" w:hAnsiTheme="minorHAnsi"/>
          <w:b/>
          <w:b/>
          <w:bCs/>
        </w:rPr>
      </w:pPr>
      <w:r>
        <w:rPr>
          <w:rFonts w:cs="Calibri" w:cstheme="minorHAnsi" w:ascii="Calibri" w:hAnsi="Calibri"/>
          <w:b/>
          <w:bCs/>
        </w:rPr>
      </w:r>
    </w:p>
    <w:p>
      <w:pPr>
        <w:pStyle w:val="Normal"/>
        <w:rPr>
          <w:rFonts w:ascii="Calibri" w:hAnsi="Calibri" w:cs="Calibri" w:asciiTheme="minorHAnsi" w:cstheme="minorHAnsi" w:hAnsiTheme="minorHAnsi"/>
          <w:b/>
          <w:b/>
          <w:bCs/>
        </w:rPr>
      </w:pPr>
      <w:r>
        <w:rPr>
          <w:rFonts w:cs="Calibri" w:cstheme="minorHAnsi" w:ascii="Calibri" w:hAnsi="Calibri"/>
          <w:b/>
          <w:bCs/>
        </w:rPr>
      </w:r>
    </w:p>
    <w:p>
      <w:pPr>
        <w:pStyle w:val="Normal"/>
        <w:suppressAutoHyphens w:val="false"/>
        <w:rPr>
          <w:rFonts w:ascii="Calibri" w:hAnsi="Calibri" w:cs="Calibri" w:asciiTheme="minorHAnsi" w:cstheme="minorHAnsi" w:hAnsiTheme="minorHAnsi"/>
          <w:bCs/>
          <w:color w:val="000000"/>
          <w:sz w:val="16"/>
          <w:szCs w:val="16"/>
        </w:rPr>
      </w:pPr>
      <w:r>
        <w:rPr>
          <w:rFonts w:cs="Calibri" w:ascii="Calibri" w:hAnsi="Calibri" w:asciiTheme="minorHAnsi" w:cstheme="minorHAnsi" w:hAnsiTheme="minorHAnsi"/>
          <w:bCs/>
          <w:color w:val="000000"/>
          <w:sz w:val="16"/>
          <w:szCs w:val="16"/>
        </w:rPr>
        <w:t>(* le analisi riportate per l’anno 2022 sono in corso di sistematizzazione e stabilizzazione)</w:t>
      </w:r>
    </w:p>
    <w:p>
      <w:pPr>
        <w:pStyle w:val="Normal"/>
        <w:suppressAutoHyphens w:val="false"/>
        <w:rPr>
          <w:rFonts w:ascii="Calibri" w:hAnsi="Calibri" w:cs="Calibri" w:asciiTheme="minorHAnsi" w:cstheme="minorHAnsi" w:hAnsiTheme="minorHAnsi"/>
          <w:bCs/>
          <w:color w:val="000000"/>
          <w:sz w:val="16"/>
          <w:szCs w:val="16"/>
        </w:rPr>
      </w:pPr>
      <w:r>
        <w:rPr>
          <w:rFonts w:cs="Calibri" w:cstheme="minorHAnsi" w:ascii="Calibri" w:hAnsi="Calibri"/>
          <w:bCs/>
          <w:color w:val="000000"/>
          <w:sz w:val="16"/>
          <w:szCs w:val="16"/>
        </w:rPr>
      </w:r>
    </w:p>
    <w:p>
      <w:pPr>
        <w:pStyle w:val="Normal"/>
        <w:rPr>
          <w:rFonts w:ascii="Calibri" w:hAnsi="Calibri" w:cs="Calibri" w:asciiTheme="minorHAnsi" w:cstheme="minorHAnsi" w:hAnsiTheme="minorHAnsi"/>
          <w:b/>
          <w:b/>
          <w:bCs/>
        </w:rPr>
      </w:pPr>
      <w:r>
        <w:rPr>
          <w:rFonts w:cs="Calibri" w:cstheme="minorHAnsi" w:ascii="Calibri" w:hAnsi="Calibri"/>
          <w:b/>
          <w:bCs/>
        </w:rPr>
      </w:r>
    </w:p>
    <w:p>
      <w:pPr>
        <w:pStyle w:val="Normal"/>
        <w:rPr>
          <w:rFonts w:ascii="Calibri" w:hAnsi="Calibri" w:cs="Calibri" w:asciiTheme="minorHAnsi" w:cstheme="minorHAnsi" w:hAnsiTheme="minorHAnsi"/>
          <w:b/>
          <w:b/>
          <w:bCs/>
        </w:rPr>
      </w:pPr>
      <w:r>
        <w:rPr>
          <w:rFonts w:cs="Calibri" w:cstheme="minorHAnsi" w:ascii="Calibri" w:hAnsi="Calibri"/>
          <w:b/>
          <w:bCs/>
        </w:rPr>
      </w:r>
    </w:p>
    <w:p>
      <w:pPr>
        <w:pStyle w:val="Normal"/>
        <w:rPr>
          <w:rFonts w:ascii="Calibri" w:hAnsi="Calibri" w:cs="Calibri" w:asciiTheme="minorHAnsi" w:cstheme="minorHAnsi" w:hAnsiTheme="minorHAnsi"/>
          <w:b/>
          <w:b/>
          <w:bCs/>
        </w:rPr>
      </w:pPr>
      <w:r>
        <w:rPr>
          <w:rFonts w:cs="Calibri" w:cstheme="minorHAnsi" w:ascii="Calibri" w:hAnsi="Calibri"/>
          <w:b/>
          <w:bCs/>
        </w:rPr>
      </w:r>
    </w:p>
    <w:p>
      <w:pPr>
        <w:pStyle w:val="Normal"/>
        <w:suppressAutoHyphens w:val="false"/>
        <w:spacing w:lineRule="atLeast" w:line="320" w:before="0" w:after="120"/>
        <w:ind w:left="-3" w:hanging="0"/>
        <w:contextualSpacing/>
        <w:jc w:val="both"/>
        <w:rPr>
          <w:rFonts w:ascii="Calibri" w:hAnsi="Calibri" w:cs="Calibri" w:asciiTheme="minorHAnsi" w:cstheme="minorHAnsi" w:hAnsiTheme="minorHAnsi"/>
          <w:sz w:val="22"/>
          <w:szCs w:val="22"/>
        </w:rPr>
      </w:pPr>
      <w:r>
        <w:rPr>
          <w:rFonts w:cs="Calibri" w:cstheme="minorHAnsi" w:ascii="Calibri" w:hAnsi="Calibri"/>
          <w:sz w:val="22"/>
          <w:szCs w:val="22"/>
        </w:rPr>
      </w:r>
      <w:r>
        <w:br w:type="page"/>
      </w:r>
    </w:p>
    <w:p>
      <w:pPr>
        <w:pStyle w:val="Titoloprincipale"/>
        <w:numPr>
          <w:ilvl w:val="0"/>
          <w:numId w:val="1"/>
        </w:numPr>
        <w:spacing w:lineRule="atLeast" w:line="320" w:before="0" w:after="120"/>
        <w:ind w:left="0" w:hanging="0"/>
        <w:jc w:val="left"/>
        <w:rPr>
          <w:rFonts w:ascii="Calibri" w:hAnsi="Calibri" w:cs="Calibri"/>
          <w:caps/>
          <w:sz w:val="28"/>
          <w:szCs w:val="28"/>
        </w:rPr>
      </w:pPr>
      <w:bookmarkStart w:id="41" w:name="_Toc152228358"/>
      <w:r>
        <w:rPr>
          <w:rFonts w:cs="Calibri" w:ascii="Calibri" w:hAnsi="Calibri"/>
          <w:sz w:val="28"/>
          <w:szCs w:val="28"/>
        </w:rPr>
        <w:t>SISTEMA DI VALUTAZIONE DELLA REGIONE TOSCANA: RISULTATI DELLA PERFORMANCE DELL’AZIENDA USL TOSCANA CENTRO</w:t>
      </w:r>
      <w:bookmarkEnd w:id="41"/>
    </w:p>
    <w:p>
      <w:pPr>
        <w:pStyle w:val="Titolo2"/>
        <w:spacing w:lineRule="atLeast" w:line="320" w:before="0" w:after="120"/>
        <w:jc w:val="both"/>
        <w:rPr>
          <w:rFonts w:ascii="Calibri" w:hAnsi="Calibri" w:cs="Calibri"/>
          <w:b w:val="false"/>
          <w:b w:val="false"/>
          <w:bCs w:val="false"/>
          <w:i w:val="false"/>
          <w:i w:val="false"/>
          <w:iCs w:val="false"/>
          <w:sz w:val="22"/>
          <w:szCs w:val="22"/>
        </w:rPr>
      </w:pPr>
      <w:bookmarkStart w:id="42" w:name="_Toc152228359"/>
      <w:r>
        <w:rPr>
          <w:rFonts w:cs="Calibri" w:ascii="Calibri" w:hAnsi="Calibri"/>
          <w:i w:val="false"/>
          <w:iCs w:val="false"/>
          <w:sz w:val="22"/>
          <w:szCs w:val="22"/>
        </w:rPr>
        <w:t>5.1 BERSAGLI</w:t>
      </w:r>
      <w:bookmarkEnd w:id="42"/>
    </w:p>
    <w:p>
      <w:pPr>
        <w:pStyle w:val="Normal"/>
        <w:spacing w:lineRule="atLeast" w:line="320" w:before="0" w:after="120"/>
        <w:jc w:val="both"/>
        <w:rPr>
          <w:rFonts w:ascii="Calibri" w:hAnsi="Calibri" w:cs="Calibri"/>
          <w:b/>
          <w:b/>
          <w:sz w:val="22"/>
          <w:szCs w:val="22"/>
        </w:rPr>
      </w:pPr>
      <w:r>
        <w:rPr>
          <w:rFonts w:cs="Calibri" w:ascii="Calibri" w:hAnsi="Calibri"/>
          <w:sz w:val="22"/>
          <w:szCs w:val="22"/>
        </w:rPr>
        <w:t>Per rappresentare in modo sintetico la performance Aziendale, il sistema di valutazione del MeS utilizza uno schema a "bersaglio" con cinque diverse fasce di valutazione. L'azienda capace di centrare gli obiettivi e di ottenere una buona performance nelle diverse dimensioni avrà i propri risultati riportati vicino al centro del bersaglio in zona verde, mentre i risultati negativi compariranno nelle fasce via via più lontane dal centro (Figure 22A-B).</w:t>
      </w:r>
    </w:p>
    <w:p>
      <w:pPr>
        <w:pStyle w:val="Normal"/>
        <w:spacing w:lineRule="atLeast" w:line="320" w:before="0" w:after="120"/>
        <w:rPr>
          <w:rFonts w:ascii="Calibri" w:hAnsi="Calibri" w:cs="Calibri" w:asciiTheme="minorHAnsi" w:cstheme="minorHAnsi" w:hAnsiTheme="minorHAnsi"/>
          <w:b/>
          <w:b/>
          <w:bCs/>
          <w:kern w:val="2"/>
          <w:sz w:val="22"/>
          <w:szCs w:val="32"/>
        </w:rPr>
      </w:pPr>
      <w:r>
        <w:rPr>
          <w:rFonts w:cs="Calibri" w:ascii="Calibri" w:hAnsi="Calibri" w:asciiTheme="minorHAnsi" w:cstheme="minorHAnsi" w:hAnsiTheme="minorHAnsi"/>
          <w:b/>
          <w:bCs/>
          <w:kern w:val="2"/>
          <w:sz w:val="22"/>
          <w:szCs w:val="32"/>
        </w:rPr>
        <w:t>Figura 22. Bersagli MES dell’AUSL Toscana Centro, Anni 2021-2022</w:t>
      </w:r>
    </w:p>
    <w:tbl>
      <w:tblPr>
        <w:tblW w:w="9628"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4814"/>
        <w:gridCol w:w="4813"/>
      </w:tblGrid>
      <w:tr>
        <w:trPr/>
        <w:tc>
          <w:tcPr>
            <w:tcW w:w="48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320" w:before="0" w:after="120"/>
              <w:jc w:val="center"/>
              <w:rPr>
                <w:rFonts w:ascii="Calibri" w:hAnsi="Calibri" w:cs="Calibri"/>
                <w:b/>
                <w:b/>
              </w:rPr>
            </w:pPr>
            <w:r>
              <w:rPr>
                <w:rFonts w:cs="Calibri" w:ascii="Calibri" w:hAnsi="Calibri"/>
                <w:b/>
                <w:sz w:val="22"/>
                <w:szCs w:val="22"/>
              </w:rPr>
              <w:t>A) Bersaglio 2021</w:t>
            </w:r>
          </w:p>
        </w:tc>
        <w:tc>
          <w:tcPr>
            <w:tcW w:w="48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320" w:before="0" w:after="120"/>
              <w:jc w:val="center"/>
              <w:rPr>
                <w:rFonts w:ascii="Calibri" w:hAnsi="Calibri" w:cs="Calibri"/>
                <w:b/>
                <w:b/>
              </w:rPr>
            </w:pPr>
            <w:r>
              <w:rPr>
                <w:rFonts w:cs="Calibri" w:ascii="Calibri" w:hAnsi="Calibri"/>
                <w:b/>
                <w:sz w:val="22"/>
                <w:szCs w:val="22"/>
              </w:rPr>
              <w:t>B) Bersaglio 2022</w:t>
            </w:r>
          </w:p>
        </w:tc>
      </w:tr>
      <w:tr>
        <w:trPr/>
        <w:tc>
          <w:tcPr>
            <w:tcW w:w="48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320" w:before="0" w:after="120"/>
              <w:rPr>
                <w:rFonts w:ascii="Calibri" w:hAnsi="Calibri" w:cs="Arial"/>
              </w:rPr>
            </w:pPr>
            <w:r>
              <w:rPr/>
              <w:drawing>
                <wp:inline distT="0" distB="0" distL="0" distR="0">
                  <wp:extent cx="2919095" cy="2852420"/>
                  <wp:effectExtent l="0" t="0" r="0" b="0"/>
                  <wp:docPr id="39" name="Immagin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16" descr=""/>
                          <pic:cNvPicPr>
                            <a:picLocks noChangeAspect="1" noChangeArrowheads="1"/>
                          </pic:cNvPicPr>
                        </pic:nvPicPr>
                        <pic:blipFill>
                          <a:blip r:embed="rId37"/>
                          <a:stretch>
                            <a:fillRect/>
                          </a:stretch>
                        </pic:blipFill>
                        <pic:spPr bwMode="auto">
                          <a:xfrm>
                            <a:off x="0" y="0"/>
                            <a:ext cx="2919095" cy="2852420"/>
                          </a:xfrm>
                          <a:prstGeom prst="rect">
                            <a:avLst/>
                          </a:prstGeom>
                        </pic:spPr>
                      </pic:pic>
                    </a:graphicData>
                  </a:graphic>
                </wp:inline>
              </w:drawing>
            </w:r>
          </w:p>
        </w:tc>
        <w:tc>
          <w:tcPr>
            <w:tcW w:w="48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320" w:before="0" w:after="120"/>
              <w:rPr>
                <w:rFonts w:ascii="Calibri" w:hAnsi="Calibri" w:cs="Arial"/>
              </w:rPr>
            </w:pPr>
            <w:r>
              <w:rPr/>
              <w:drawing>
                <wp:inline distT="0" distB="0" distL="0" distR="0">
                  <wp:extent cx="2919095" cy="2841625"/>
                  <wp:effectExtent l="0" t="0" r="0" b="0"/>
                  <wp:docPr id="40" name="Immagin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17" descr=""/>
                          <pic:cNvPicPr>
                            <a:picLocks noChangeAspect="1" noChangeArrowheads="1"/>
                          </pic:cNvPicPr>
                        </pic:nvPicPr>
                        <pic:blipFill>
                          <a:blip r:embed="rId38"/>
                          <a:stretch>
                            <a:fillRect/>
                          </a:stretch>
                        </pic:blipFill>
                        <pic:spPr bwMode="auto">
                          <a:xfrm>
                            <a:off x="0" y="0"/>
                            <a:ext cx="2919095" cy="2841625"/>
                          </a:xfrm>
                          <a:prstGeom prst="rect">
                            <a:avLst/>
                          </a:prstGeom>
                        </pic:spPr>
                      </pic:pic>
                    </a:graphicData>
                  </a:graphic>
                </wp:inline>
              </w:drawing>
            </w:r>
          </w:p>
        </w:tc>
      </w:tr>
    </w:tbl>
    <w:p>
      <w:pPr>
        <w:pStyle w:val="Normal"/>
        <w:spacing w:lineRule="atLeast" w:line="320" w:before="0" w:after="120"/>
        <w:rPr>
          <w:rFonts w:ascii="Calibri" w:hAnsi="Calibri" w:cs="Calibri"/>
          <w:sz w:val="22"/>
          <w:szCs w:val="22"/>
        </w:rPr>
      </w:pPr>
      <w:r>
        <w:rPr>
          <w:rFonts w:cs="Calibri" w:ascii="Calibri" w:hAnsi="Calibri"/>
          <w:sz w:val="22"/>
          <w:szCs w:val="22"/>
        </w:rPr>
      </w:r>
    </w:p>
    <w:p>
      <w:pPr>
        <w:pStyle w:val="Normal"/>
        <w:spacing w:lineRule="atLeast" w:line="320" w:before="0" w:after="120"/>
        <w:rPr>
          <w:rFonts w:ascii="Calibri" w:hAnsi="Calibri" w:cs="Calibri" w:asciiTheme="minorHAnsi" w:cstheme="minorHAnsi" w:hAnsiTheme="minorHAnsi"/>
          <w:b/>
          <w:b/>
          <w:bCs/>
          <w:kern w:val="2"/>
          <w:sz w:val="22"/>
          <w:szCs w:val="32"/>
        </w:rPr>
      </w:pPr>
      <w:r>
        <w:rPr>
          <w:rFonts w:cs="Calibri" w:ascii="Calibri" w:hAnsi="Calibri" w:asciiTheme="minorHAnsi" w:cstheme="minorHAnsi" w:hAnsiTheme="minorHAnsi"/>
          <w:b/>
          <w:bCs/>
          <w:kern w:val="2"/>
          <w:sz w:val="22"/>
          <w:szCs w:val="32"/>
        </w:rPr>
        <w:t>Figura 23. Capacità di miglioramento e gestione della variabilità degli indicatori MES dell’AUSL Toscana Centro, anno 2022</w:t>
      </w:r>
    </w:p>
    <w:tbl>
      <w:tblPr>
        <w:tblpPr w:bottomFromText="0" w:horzAnchor="margin" w:leftFromText="141" w:rightFromText="141" w:tblpX="0" w:tblpY="127" w:topFromText="0" w:vertAnchor="text"/>
        <w:tblW w:w="9628" w:type="dxa"/>
        <w:jc w:val="left"/>
        <w:tblInd w:w="-5" w:type="dxa"/>
        <w:tblLayout w:type="fixed"/>
        <w:tblCellMar>
          <w:top w:w="0" w:type="dxa"/>
          <w:left w:w="108" w:type="dxa"/>
          <w:bottom w:w="0" w:type="dxa"/>
          <w:right w:w="108" w:type="dxa"/>
        </w:tblCellMar>
        <w:tblLook w:firstRow="1" w:noVBand="0" w:lastRow="1" w:firstColumn="1" w:lastColumn="1" w:noHBand="0" w:val="01e0"/>
      </w:tblPr>
      <w:tblGrid>
        <w:gridCol w:w="4814"/>
        <w:gridCol w:w="4813"/>
      </w:tblGrid>
      <w:tr>
        <w:trPr>
          <w:trHeight w:val="3676" w:hRule="atLeast"/>
        </w:trPr>
        <w:tc>
          <w:tcPr>
            <w:tcW w:w="48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320" w:before="0" w:after="120"/>
              <w:jc w:val="both"/>
              <w:rPr>
                <w:rFonts w:ascii="Calibri" w:hAnsi="Calibri" w:cs="Arial"/>
              </w:rPr>
            </w:pPr>
            <w:r>
              <w:rPr/>
              <w:drawing>
                <wp:inline distT="0" distB="0" distL="0" distR="0">
                  <wp:extent cx="2662555" cy="2326005"/>
                  <wp:effectExtent l="0" t="0" r="0" b="0"/>
                  <wp:docPr id="41" name="Immagin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18" descr=""/>
                          <pic:cNvPicPr>
                            <a:picLocks noChangeAspect="1" noChangeArrowheads="1"/>
                          </pic:cNvPicPr>
                        </pic:nvPicPr>
                        <pic:blipFill>
                          <a:blip r:embed="rId39"/>
                          <a:stretch>
                            <a:fillRect/>
                          </a:stretch>
                        </pic:blipFill>
                        <pic:spPr bwMode="auto">
                          <a:xfrm>
                            <a:off x="0" y="0"/>
                            <a:ext cx="2662555" cy="2326005"/>
                          </a:xfrm>
                          <a:prstGeom prst="rect">
                            <a:avLst/>
                          </a:prstGeom>
                        </pic:spPr>
                      </pic:pic>
                    </a:graphicData>
                  </a:graphic>
                </wp:inline>
              </w:drawing>
            </w:r>
          </w:p>
        </w:tc>
        <w:tc>
          <w:tcPr>
            <w:tcW w:w="48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320" w:before="0" w:after="120"/>
              <w:jc w:val="both"/>
              <w:rPr>
                <w:rFonts w:ascii="Calibri" w:hAnsi="Calibri" w:cs="Arial"/>
              </w:rPr>
            </w:pPr>
            <w:r>
              <w:rPr/>
              <w:drawing>
                <wp:inline distT="0" distB="0" distL="0" distR="0">
                  <wp:extent cx="2447290" cy="2238375"/>
                  <wp:effectExtent l="0" t="0" r="0" b="0"/>
                  <wp:docPr id="42" name="Immagin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19" descr=""/>
                          <pic:cNvPicPr>
                            <a:picLocks noChangeAspect="1" noChangeArrowheads="1"/>
                          </pic:cNvPicPr>
                        </pic:nvPicPr>
                        <pic:blipFill>
                          <a:blip r:embed="rId40"/>
                          <a:stretch>
                            <a:fillRect/>
                          </a:stretch>
                        </pic:blipFill>
                        <pic:spPr bwMode="auto">
                          <a:xfrm>
                            <a:off x="0" y="0"/>
                            <a:ext cx="2447290" cy="2238375"/>
                          </a:xfrm>
                          <a:prstGeom prst="rect">
                            <a:avLst/>
                          </a:prstGeom>
                        </pic:spPr>
                      </pic:pic>
                    </a:graphicData>
                  </a:graphic>
                </wp:inline>
              </w:drawing>
            </w:r>
          </w:p>
        </w:tc>
      </w:tr>
    </w:tbl>
    <w:p>
      <w:pPr>
        <w:pStyle w:val="Titolo2"/>
        <w:spacing w:lineRule="atLeast" w:line="320" w:before="0" w:after="120"/>
        <w:jc w:val="both"/>
        <w:rPr>
          <w:rFonts w:ascii="Calibri" w:hAnsi="Calibri" w:cs="Calibri"/>
          <w:i w:val="false"/>
          <w:i w:val="false"/>
          <w:iCs w:val="false"/>
          <w:sz w:val="22"/>
          <w:szCs w:val="22"/>
        </w:rPr>
      </w:pPr>
      <w:bookmarkStart w:id="43" w:name="_Toc152228360"/>
      <w:bookmarkStart w:id="44" w:name="_Toc107322290"/>
      <w:r>
        <w:rPr>
          <w:rFonts w:cs="Calibri" w:ascii="Calibri" w:hAnsi="Calibri"/>
          <w:i w:val="false"/>
          <w:iCs w:val="false"/>
          <w:sz w:val="22"/>
          <w:szCs w:val="22"/>
        </w:rPr>
        <w:t>5.2 ESITI DELLE CURE</w:t>
      </w:r>
      <w:bookmarkEnd w:id="43"/>
      <w:bookmarkEnd w:id="44"/>
    </w:p>
    <w:p>
      <w:pPr>
        <w:pStyle w:val="Normal"/>
        <w:spacing w:lineRule="atLeast" w:line="320" w:before="0" w:after="120"/>
        <w:jc w:val="both"/>
        <w:rPr>
          <w:rFonts w:ascii="Calibri" w:hAnsi="Calibri" w:cs="Calibri"/>
          <w:b/>
          <w:b/>
          <w:sz w:val="22"/>
          <w:szCs w:val="22"/>
        </w:rPr>
      </w:pPr>
      <w:r>
        <w:rPr>
          <w:rFonts w:cs="Calibri" w:ascii="Calibri" w:hAnsi="Calibri"/>
          <w:sz w:val="22"/>
          <w:szCs w:val="22"/>
        </w:rPr>
        <w:t xml:space="preserve">La valutazione della qualità delle cure è stata monitorata e valutata attraverso il </w:t>
      </w:r>
      <w:r>
        <w:rPr>
          <w:rStyle w:val="Strong"/>
          <w:rFonts w:cs="Calibri" w:ascii="Calibri" w:hAnsi="Calibri"/>
          <w:b w:val="false"/>
          <w:bCs/>
          <w:sz w:val="22"/>
          <w:szCs w:val="22"/>
        </w:rPr>
        <w:t xml:space="preserve">Programma di Osservazione degli Esiti (PrOsE) </w:t>
      </w:r>
      <w:r>
        <w:rPr>
          <w:rFonts w:cs="Calibri" w:ascii="Calibri" w:hAnsi="Calibri"/>
          <w:sz w:val="22"/>
          <w:szCs w:val="22"/>
        </w:rPr>
        <w:t xml:space="preserve">del Sistema sanitario toscano. </w:t>
      </w:r>
      <w:r>
        <w:rPr>
          <w:rStyle w:val="Strong"/>
          <w:rFonts w:cs="Calibri" w:ascii="Calibri" w:hAnsi="Calibri"/>
          <w:b w:val="false"/>
          <w:bCs/>
          <w:sz w:val="22"/>
          <w:szCs w:val="22"/>
        </w:rPr>
        <w:t>PrOsE</w:t>
      </w:r>
      <w:r>
        <w:rPr>
          <w:rFonts w:cs="Calibri" w:ascii="Calibri" w:hAnsi="Calibri"/>
          <w:sz w:val="22"/>
          <w:szCs w:val="22"/>
        </w:rPr>
        <w:t xml:space="preserve"> è</w:t>
      </w:r>
      <w:r>
        <w:rPr>
          <w:rFonts w:cs="Calibri" w:ascii="Calibri" w:hAnsi="Calibri"/>
          <w:b/>
          <w:sz w:val="22"/>
          <w:szCs w:val="22"/>
        </w:rPr>
        <w:t xml:space="preserve"> </w:t>
      </w:r>
      <w:r>
        <w:rPr>
          <w:rStyle w:val="Strong"/>
          <w:rFonts w:cs="Calibri" w:ascii="Calibri" w:hAnsi="Calibri"/>
          <w:b w:val="false"/>
          <w:bCs/>
          <w:sz w:val="22"/>
          <w:szCs w:val="22"/>
        </w:rPr>
        <w:t>un’iniziativa scientifica di monitoraggio della qualità delle prestazioni erogate nel contesto ospedaliero e territoriale</w:t>
      </w:r>
      <w:r>
        <w:rPr>
          <w:rFonts w:cs="Calibri" w:ascii="Calibri" w:hAnsi="Calibri"/>
          <w:b/>
          <w:sz w:val="22"/>
          <w:szCs w:val="22"/>
        </w:rPr>
        <w:t xml:space="preserve">. </w:t>
      </w:r>
      <w:r>
        <w:rPr>
          <w:rFonts w:cs="Calibri" w:ascii="Calibri" w:hAnsi="Calibri"/>
          <w:sz w:val="22"/>
          <w:szCs w:val="22"/>
        </w:rPr>
        <w:t>Il Programma propone all’attenzione di diversi stakeholder principalmente indicatori di esito quali mortalità, riammissioni e complicanze, con l’obiettivo di promuovere l’apprendimento organizzativo e costituire un momento di valutazione. Gli indicatori si riferiscono ai seguenti ambiti:</w:t>
      </w:r>
      <w:r>
        <w:rPr>
          <w:rFonts w:cs="Calibri" w:ascii="Calibri" w:hAnsi="Calibri"/>
          <w:b/>
          <w:sz w:val="22"/>
          <w:szCs w:val="22"/>
        </w:rPr>
        <w:t xml:space="preserve"> </w:t>
      </w:r>
      <w:r>
        <w:rPr>
          <w:rStyle w:val="Strong"/>
          <w:rFonts w:cs="Calibri" w:ascii="Calibri" w:hAnsi="Calibri"/>
          <w:b w:val="false"/>
          <w:bCs/>
          <w:sz w:val="22"/>
          <w:szCs w:val="22"/>
        </w:rPr>
        <w:t>area medica, reti tempo-dipendenti, chirurgia generale, area oncologica, percorso nascita, ortopedia, chirurgia vascolare e territorio</w:t>
      </w:r>
      <w:r>
        <w:rPr>
          <w:rFonts w:cs="Calibri" w:ascii="Calibri" w:hAnsi="Calibri"/>
          <w:b/>
          <w:sz w:val="22"/>
          <w:szCs w:val="22"/>
        </w:rPr>
        <w:t xml:space="preserve">. </w:t>
      </w:r>
    </w:p>
    <w:p>
      <w:pPr>
        <w:pStyle w:val="Normal"/>
        <w:spacing w:lineRule="atLeast" w:line="320" w:before="0" w:after="120"/>
        <w:rPr>
          <w:rFonts w:ascii="Calibri" w:hAnsi="Calibri" w:cs="Calibri" w:asciiTheme="minorHAnsi" w:cstheme="minorHAnsi" w:hAnsiTheme="minorHAnsi"/>
          <w:b/>
          <w:b/>
          <w:bCs/>
          <w:kern w:val="2"/>
          <w:sz w:val="22"/>
          <w:szCs w:val="32"/>
        </w:rPr>
      </w:pPr>
      <w:r>
        <w:rPr>
          <w:rFonts w:cs="Calibri" w:ascii="Calibri" w:hAnsi="Calibri" w:asciiTheme="minorHAnsi" w:cstheme="minorHAnsi" w:hAnsiTheme="minorHAnsi"/>
          <w:b/>
          <w:bCs/>
          <w:kern w:val="2"/>
          <w:sz w:val="22"/>
          <w:szCs w:val="32"/>
        </w:rPr>
        <w:t>Figura 24. Esempio di lettura degli indicatori riportati nella sintesi iniziale del Programma di Osservazione degli Esiti in Toscana</w:t>
      </w:r>
    </w:p>
    <w:p>
      <w:pPr>
        <w:pStyle w:val="Normal"/>
        <w:spacing w:lineRule="atLeast" w:line="320" w:before="0" w:after="120"/>
        <w:jc w:val="both"/>
        <w:rPr>
          <w:rFonts w:ascii="Calibri" w:hAnsi="Calibri" w:cs="Arial"/>
          <w:sz w:val="22"/>
          <w:szCs w:val="22"/>
        </w:rPr>
      </w:pPr>
      <w:r>
        <w:rPr/>
        <w:drawing>
          <wp:inline distT="0" distB="0" distL="0" distR="0">
            <wp:extent cx="6000750" cy="1276350"/>
            <wp:effectExtent l="0" t="0" r="0" b="0"/>
            <wp:docPr id="43" name="Immagin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1" descr=""/>
                    <pic:cNvPicPr>
                      <a:picLocks noChangeAspect="1" noChangeArrowheads="1"/>
                    </pic:cNvPicPr>
                  </pic:nvPicPr>
                  <pic:blipFill>
                    <a:blip r:embed="rId41"/>
                    <a:srcRect l="5563" t="55380" r="8188" b="22046"/>
                    <a:stretch>
                      <a:fillRect/>
                    </a:stretch>
                  </pic:blipFill>
                  <pic:spPr bwMode="auto">
                    <a:xfrm>
                      <a:off x="0" y="0"/>
                      <a:ext cx="6000750" cy="1276350"/>
                    </a:xfrm>
                    <a:prstGeom prst="rect">
                      <a:avLst/>
                    </a:prstGeom>
                  </pic:spPr>
                </pic:pic>
              </a:graphicData>
            </a:graphic>
          </wp:inline>
        </w:drawing>
      </w:r>
    </w:p>
    <w:p>
      <w:pPr>
        <w:pStyle w:val="Normal"/>
        <w:spacing w:lineRule="atLeast" w:line="320" w:before="0" w:after="120"/>
        <w:jc w:val="both"/>
        <w:rPr>
          <w:rFonts w:ascii="Calibri" w:hAnsi="Calibri" w:cs="Calibri"/>
          <w:sz w:val="22"/>
          <w:szCs w:val="22"/>
          <w:highlight w:val="yellow"/>
        </w:rPr>
      </w:pPr>
      <w:r>
        <w:rPr>
          <w:rFonts w:cs="Calibri" w:ascii="Calibri" w:hAnsi="Calibri"/>
          <w:sz w:val="22"/>
          <w:szCs w:val="22"/>
        </w:rPr>
        <w:t>Quando il pallino blu è compreso nel rettangolo giallo, il risultato non è differente dalla media regionale. Gli indicatori sono calcolati tenendo conto dei protocolli sviluppati da AGENAS, su mandato del Ministero della Salute, nel Programma Nazionale Esiti (Figura 24).</w:t>
      </w:r>
    </w:p>
    <w:p>
      <w:pPr>
        <w:pStyle w:val="Normal"/>
        <w:spacing w:lineRule="atLeast" w:line="320" w:before="0" w:after="120"/>
        <w:jc w:val="both"/>
        <w:rPr>
          <w:rFonts w:ascii="Calibri" w:hAnsi="Calibri" w:cs="Calibri"/>
          <w:b/>
          <w:b/>
          <w:sz w:val="22"/>
          <w:szCs w:val="22"/>
        </w:rPr>
      </w:pPr>
      <w:r>
        <w:rPr>
          <w:rFonts w:cs="Calibri" w:ascii="Calibri" w:hAnsi="Calibri"/>
          <w:b/>
          <w:sz w:val="22"/>
          <w:szCs w:val="22"/>
        </w:rPr>
        <w:t xml:space="preserve">Nell’anno 2022 i dati di esito a disposizione hanno prospettiva residenti, si riferiscono quindi alla salute della popolazione del nostro territorio a prescindere dalle strutture di erogazione. </w:t>
      </w:r>
    </w:p>
    <w:p>
      <w:pPr>
        <w:pStyle w:val="Normal"/>
        <w:suppressAutoHyphens w:val="false"/>
        <w:jc w:val="both"/>
        <w:rPr>
          <w:rFonts w:ascii="Calibri" w:hAnsi="Calibri" w:cs="Calibri" w:asciiTheme="minorHAnsi" w:cstheme="minorHAnsi" w:hAnsiTheme="minorHAnsi"/>
          <w:b/>
          <w:b/>
          <w:bCs/>
          <w:kern w:val="2"/>
          <w:sz w:val="22"/>
          <w:szCs w:val="32"/>
        </w:rPr>
      </w:pPr>
      <w:r>
        <w:rPr>
          <w:rFonts w:cs="Calibri" w:ascii="Calibri" w:hAnsi="Calibri" w:asciiTheme="minorHAnsi" w:cstheme="minorHAnsi" w:hAnsiTheme="minorHAnsi"/>
          <w:b/>
          <w:bCs/>
          <w:kern w:val="2"/>
          <w:sz w:val="22"/>
          <w:szCs w:val="32"/>
        </w:rPr>
        <w:t>Figura 25. Indicatori PrOsE area medica, per AUSL Toscana Centro, anno 2022</w:t>
      </w:r>
    </w:p>
    <w:p>
      <w:pPr>
        <w:pStyle w:val="Normal"/>
        <w:suppressAutoHyphens w:val="false"/>
        <w:jc w:val="both"/>
        <w:rPr>
          <w:rFonts w:ascii="Arial" w:hAnsi="Arial" w:cs="Arial"/>
          <w:b/>
          <w:b/>
          <w:bCs/>
          <w:sz w:val="20"/>
          <w:szCs w:val="20"/>
        </w:rPr>
      </w:pPr>
      <w:r>
        <w:rPr/>
        <w:drawing>
          <wp:inline distT="0" distB="0" distL="0" distR="0">
            <wp:extent cx="6120130" cy="3765550"/>
            <wp:effectExtent l="0" t="0" r="0" b="0"/>
            <wp:docPr id="44" name="Immagin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7" descr=""/>
                    <pic:cNvPicPr>
                      <a:picLocks noChangeAspect="1" noChangeArrowheads="1"/>
                    </pic:cNvPicPr>
                  </pic:nvPicPr>
                  <pic:blipFill>
                    <a:blip r:embed="rId42"/>
                    <a:stretch>
                      <a:fillRect/>
                    </a:stretch>
                  </pic:blipFill>
                  <pic:spPr bwMode="auto">
                    <a:xfrm>
                      <a:off x="0" y="0"/>
                      <a:ext cx="6120130" cy="3765550"/>
                    </a:xfrm>
                    <a:prstGeom prst="rect">
                      <a:avLst/>
                    </a:prstGeom>
                  </pic:spPr>
                </pic:pic>
              </a:graphicData>
            </a:graphic>
          </wp:inline>
        </w:drawing>
      </w:r>
    </w:p>
    <w:p>
      <w:pPr>
        <w:pStyle w:val="Normal"/>
        <w:spacing w:lineRule="atLeast" w:line="320" w:before="0" w:after="120"/>
        <w:rPr>
          <w:rFonts w:ascii="Calibri" w:hAnsi="Calibri" w:cs="Arial"/>
          <w:sz w:val="22"/>
          <w:szCs w:val="22"/>
        </w:rPr>
      </w:pPr>
      <w:r>
        <w:rPr>
          <w:rFonts w:cs="Arial" w:ascii="Calibri" w:hAnsi="Calibri"/>
          <w:sz w:val="22"/>
          <w:szCs w:val="22"/>
        </w:rPr>
      </w:r>
    </w:p>
    <w:p>
      <w:pPr>
        <w:pStyle w:val="Normal"/>
        <w:spacing w:lineRule="atLeast" w:line="320" w:before="0" w:after="120"/>
        <w:jc w:val="both"/>
        <w:rPr>
          <w:rFonts w:ascii="Calibri" w:hAnsi="Calibri" w:cs="Calibri"/>
          <w:sz w:val="22"/>
          <w:szCs w:val="22"/>
        </w:rPr>
      </w:pPr>
      <w:r>
        <w:rPr>
          <w:rFonts w:cs="Calibri" w:ascii="Calibri" w:hAnsi="Calibri"/>
          <w:sz w:val="22"/>
          <w:szCs w:val="22"/>
        </w:rPr>
        <w:t xml:space="preserve">I rischi di morte dopo ricovero ospedaliero per bronchite cronica e scompenso cardiaco sono del tutto sovrapponibili a quelli regionali. Per la polmonite si osserva un tasso di mortalità in linea con la media regionale, va però segnalato un incremento nell’Azienda USL Toscana Centro così come in tutta la regione verosimilmente ascrivibile all’infezione SARS-COV2 che rende poco leggibile questo indicatore (Figura 25). </w:t>
      </w:r>
    </w:p>
    <w:p>
      <w:pPr>
        <w:pStyle w:val="Normal"/>
        <w:spacing w:lineRule="atLeast" w:line="320" w:before="0" w:after="120"/>
        <w:rPr>
          <w:rFonts w:ascii="Calibri" w:hAnsi="Calibri" w:cs="Arial"/>
          <w:sz w:val="22"/>
          <w:szCs w:val="22"/>
        </w:rPr>
      </w:pPr>
      <w:r>
        <w:rPr>
          <w:rFonts w:cs="Calibri" w:ascii="Calibri" w:hAnsi="Calibri" w:asciiTheme="minorHAnsi" w:cstheme="minorHAnsi" w:hAnsiTheme="minorHAnsi"/>
          <w:b/>
          <w:bCs/>
          <w:kern w:val="2"/>
          <w:sz w:val="22"/>
          <w:szCs w:val="32"/>
        </w:rPr>
        <w:t>Figura 26. Indicatori PrOsE reti tempo dipendenti, per AUSL Toscana Centro, anno 2022</w:t>
      </w:r>
    </w:p>
    <w:p>
      <w:pPr>
        <w:pStyle w:val="Normal"/>
        <w:spacing w:lineRule="atLeast" w:line="320" w:before="0" w:after="120"/>
        <w:rPr>
          <w:rFonts w:ascii="Calibri" w:hAnsi="Calibri" w:cs="Calibri"/>
          <w:sz w:val="22"/>
          <w:szCs w:val="22"/>
        </w:rPr>
      </w:pPr>
      <w:r>
        <w:rPr/>
        <w:drawing>
          <wp:inline distT="0" distB="0" distL="0" distR="0">
            <wp:extent cx="6120130" cy="2396490"/>
            <wp:effectExtent l="0" t="0" r="0" b="0"/>
            <wp:docPr id="45" name="Immagin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10" descr=""/>
                    <pic:cNvPicPr>
                      <a:picLocks noChangeAspect="1" noChangeArrowheads="1"/>
                    </pic:cNvPicPr>
                  </pic:nvPicPr>
                  <pic:blipFill>
                    <a:blip r:embed="rId43"/>
                    <a:stretch>
                      <a:fillRect/>
                    </a:stretch>
                  </pic:blipFill>
                  <pic:spPr bwMode="auto">
                    <a:xfrm>
                      <a:off x="0" y="0"/>
                      <a:ext cx="6120130" cy="2396490"/>
                    </a:xfrm>
                    <a:prstGeom prst="rect">
                      <a:avLst/>
                    </a:prstGeom>
                  </pic:spPr>
                </pic:pic>
              </a:graphicData>
            </a:graphic>
          </wp:inline>
        </w:drawing>
      </w:r>
    </w:p>
    <w:p>
      <w:pPr>
        <w:pStyle w:val="Normal"/>
        <w:spacing w:lineRule="atLeast" w:line="320" w:before="0" w:after="120"/>
        <w:rPr>
          <w:rFonts w:ascii="Calibri" w:hAnsi="Calibri" w:cs="Arial"/>
          <w:sz w:val="22"/>
          <w:szCs w:val="22"/>
        </w:rPr>
      </w:pPr>
      <w:r>
        <w:rPr/>
        <w:drawing>
          <wp:inline distT="0" distB="0" distL="0" distR="0">
            <wp:extent cx="6120130" cy="2201545"/>
            <wp:effectExtent l="0" t="0" r="0" b="0"/>
            <wp:docPr id="46" name="Immagin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11" descr=""/>
                    <pic:cNvPicPr>
                      <a:picLocks noChangeAspect="1" noChangeArrowheads="1"/>
                    </pic:cNvPicPr>
                  </pic:nvPicPr>
                  <pic:blipFill>
                    <a:blip r:embed="rId44"/>
                    <a:stretch>
                      <a:fillRect/>
                    </a:stretch>
                  </pic:blipFill>
                  <pic:spPr bwMode="auto">
                    <a:xfrm>
                      <a:off x="0" y="0"/>
                      <a:ext cx="6120130" cy="2201545"/>
                    </a:xfrm>
                    <a:prstGeom prst="rect">
                      <a:avLst/>
                    </a:prstGeom>
                  </pic:spPr>
                </pic:pic>
              </a:graphicData>
            </a:graphic>
          </wp:inline>
        </w:drawing>
      </w:r>
    </w:p>
    <w:p>
      <w:pPr>
        <w:pStyle w:val="Normal"/>
        <w:spacing w:lineRule="atLeast" w:line="320" w:before="0" w:after="120"/>
        <w:jc w:val="both"/>
        <w:rPr>
          <w:rFonts w:ascii="Calibri" w:hAnsi="Calibri" w:cs="Calibri"/>
          <w:sz w:val="22"/>
          <w:szCs w:val="22"/>
        </w:rPr>
      </w:pPr>
      <w:r>
        <w:rPr>
          <w:rFonts w:cs="Calibri" w:ascii="Calibri" w:hAnsi="Calibri"/>
          <w:sz w:val="22"/>
          <w:szCs w:val="22"/>
        </w:rPr>
        <w:t xml:space="preserve">Le principali patologie tempo dipendenti, Infarto miocardico e ictus, dove la tempestività delle cure è fondamentale, sono entrambe in media regionale per mortalità; si segnala però una mortalità significativamente inferiore rispetto alla media regionale per l’IMA Stemi.  Si recupera la tempestività del trattamento dopo infarto (Figura 26). </w:t>
      </w:r>
    </w:p>
    <w:p>
      <w:pPr>
        <w:pStyle w:val="Normal"/>
        <w:suppressAutoHyphens w:val="false"/>
        <w:rPr>
          <w:rFonts w:ascii="Calibri" w:hAnsi="Calibri" w:cs="Calibri"/>
          <w:sz w:val="22"/>
          <w:szCs w:val="22"/>
        </w:rPr>
      </w:pPr>
      <w:r>
        <w:rPr>
          <w:rFonts w:cs="Calibri" w:ascii="Calibri" w:hAnsi="Calibri"/>
          <w:sz w:val="22"/>
          <w:szCs w:val="22"/>
        </w:rPr>
      </w:r>
      <w:r>
        <w:br w:type="page"/>
      </w:r>
    </w:p>
    <w:p>
      <w:pPr>
        <w:pStyle w:val="Normal"/>
        <w:spacing w:lineRule="atLeast" w:line="320" w:before="0" w:after="120"/>
        <w:jc w:val="both"/>
        <w:rPr>
          <w:rFonts w:ascii="Calibri" w:hAnsi="Calibri" w:cs="Calibri"/>
          <w:sz w:val="22"/>
          <w:szCs w:val="22"/>
        </w:rPr>
      </w:pPr>
      <w:r>
        <w:rPr>
          <w:rFonts w:cs="Calibri" w:ascii="Calibri" w:hAnsi="Calibri" w:asciiTheme="minorHAnsi" w:cstheme="minorHAnsi" w:hAnsiTheme="minorHAnsi"/>
          <w:b/>
          <w:bCs/>
          <w:kern w:val="2"/>
          <w:sz w:val="22"/>
          <w:szCs w:val="32"/>
        </w:rPr>
        <w:t>Figura 27. Indicatori PrOsE area oncologica, per AUSL Toscana Centro, anno 2022</w:t>
      </w:r>
    </w:p>
    <w:p>
      <w:pPr>
        <w:pStyle w:val="Normal"/>
        <w:spacing w:lineRule="atLeast" w:line="320" w:before="0" w:after="120"/>
        <w:rPr>
          <w:rFonts w:ascii="Calibri" w:hAnsi="Calibri" w:cs="Calibri"/>
          <w:sz w:val="22"/>
          <w:szCs w:val="22"/>
        </w:rPr>
      </w:pPr>
      <w:r>
        <w:rPr/>
        <w:drawing>
          <wp:inline distT="0" distB="0" distL="0" distR="0">
            <wp:extent cx="6120130" cy="1642110"/>
            <wp:effectExtent l="0" t="0" r="0" b="0"/>
            <wp:docPr id="47" name="Immagin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12" descr=""/>
                    <pic:cNvPicPr>
                      <a:picLocks noChangeAspect="1" noChangeArrowheads="1"/>
                    </pic:cNvPicPr>
                  </pic:nvPicPr>
                  <pic:blipFill>
                    <a:blip r:embed="rId45"/>
                    <a:stretch>
                      <a:fillRect/>
                    </a:stretch>
                  </pic:blipFill>
                  <pic:spPr bwMode="auto">
                    <a:xfrm>
                      <a:off x="0" y="0"/>
                      <a:ext cx="6120130" cy="1642110"/>
                    </a:xfrm>
                    <a:prstGeom prst="rect">
                      <a:avLst/>
                    </a:prstGeom>
                  </pic:spPr>
                </pic:pic>
              </a:graphicData>
            </a:graphic>
          </wp:inline>
        </w:drawing>
      </w:r>
    </w:p>
    <w:p>
      <w:pPr>
        <w:pStyle w:val="Normal"/>
        <w:spacing w:lineRule="atLeast" w:line="320" w:before="0" w:after="120"/>
        <w:rPr>
          <w:rFonts w:ascii="Calibri" w:hAnsi="Calibri" w:cs="Calibri"/>
          <w:sz w:val="22"/>
          <w:szCs w:val="22"/>
        </w:rPr>
      </w:pPr>
      <w:r>
        <w:rPr/>
        <w:drawing>
          <wp:inline distT="0" distB="0" distL="0" distR="0">
            <wp:extent cx="6120130" cy="821690"/>
            <wp:effectExtent l="0" t="0" r="0" b="0"/>
            <wp:docPr id="48" name="Immagin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23" descr=""/>
                    <pic:cNvPicPr>
                      <a:picLocks noChangeAspect="1" noChangeArrowheads="1"/>
                    </pic:cNvPicPr>
                  </pic:nvPicPr>
                  <pic:blipFill>
                    <a:blip r:embed="rId46"/>
                    <a:stretch>
                      <a:fillRect/>
                    </a:stretch>
                  </pic:blipFill>
                  <pic:spPr bwMode="auto">
                    <a:xfrm>
                      <a:off x="0" y="0"/>
                      <a:ext cx="6120130" cy="821690"/>
                    </a:xfrm>
                    <a:prstGeom prst="rect">
                      <a:avLst/>
                    </a:prstGeom>
                  </pic:spPr>
                </pic:pic>
              </a:graphicData>
            </a:graphic>
          </wp:inline>
        </w:drawing>
      </w:r>
    </w:p>
    <w:p>
      <w:pPr>
        <w:pStyle w:val="Normal"/>
        <w:spacing w:lineRule="atLeast" w:line="320" w:before="0" w:after="120"/>
        <w:rPr>
          <w:rFonts w:ascii="Calibri" w:hAnsi="Calibri" w:cs="Calibri"/>
          <w:sz w:val="22"/>
          <w:szCs w:val="22"/>
        </w:rPr>
      </w:pPr>
      <w:r>
        <w:rPr/>
        <w:drawing>
          <wp:inline distT="0" distB="0" distL="0" distR="0">
            <wp:extent cx="6120130" cy="1494790"/>
            <wp:effectExtent l="0" t="0" r="0" b="0"/>
            <wp:docPr id="49" name="Immagin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24" descr=""/>
                    <pic:cNvPicPr>
                      <a:picLocks noChangeAspect="1" noChangeArrowheads="1"/>
                    </pic:cNvPicPr>
                  </pic:nvPicPr>
                  <pic:blipFill>
                    <a:blip r:embed="rId47"/>
                    <a:stretch>
                      <a:fillRect/>
                    </a:stretch>
                  </pic:blipFill>
                  <pic:spPr bwMode="auto">
                    <a:xfrm>
                      <a:off x="0" y="0"/>
                      <a:ext cx="6120130" cy="1494790"/>
                    </a:xfrm>
                    <a:prstGeom prst="rect">
                      <a:avLst/>
                    </a:prstGeom>
                  </pic:spPr>
                </pic:pic>
              </a:graphicData>
            </a:graphic>
          </wp:inline>
        </w:drawing>
      </w:r>
    </w:p>
    <w:p>
      <w:pPr>
        <w:pStyle w:val="Normal"/>
        <w:spacing w:lineRule="atLeast" w:line="320" w:before="0" w:after="120"/>
        <w:jc w:val="both"/>
        <w:rPr>
          <w:rFonts w:ascii="Calibri" w:hAnsi="Calibri" w:cs="Calibri"/>
          <w:sz w:val="22"/>
          <w:szCs w:val="22"/>
        </w:rPr>
      </w:pPr>
      <w:r>
        <w:rPr>
          <w:rFonts w:cs="Calibri" w:ascii="Calibri" w:hAnsi="Calibri"/>
          <w:sz w:val="22"/>
          <w:szCs w:val="22"/>
        </w:rPr>
        <w:t xml:space="preserve">In costante miglioramento l’applicazione della tecnica laparoscopica nei nostri presidi; si conferma anche la riduzione della mortalità per tumore maligno del colon. Stabile, con una tendenza alla crescita, la mortalità per neoplasia dello stomaco e della prostata, pur non raggiungendo una differenza statisticamente significativa. Anche l’indicatore relativo ai reinterventi entro 120 giorni dall’intervento per tumore conservativo della mammella è in costante aumento (Figura 27). </w:t>
      </w:r>
    </w:p>
    <w:p>
      <w:pPr>
        <w:pStyle w:val="Normal"/>
        <w:spacing w:lineRule="atLeast" w:line="320" w:before="0" w:after="120"/>
        <w:rPr>
          <w:rFonts w:ascii="Calibri" w:hAnsi="Calibri" w:cs="Calibri"/>
          <w:sz w:val="22"/>
          <w:szCs w:val="22"/>
        </w:rPr>
      </w:pPr>
      <w:r>
        <w:rPr>
          <w:rFonts w:cs="Calibri" w:ascii="Calibri" w:hAnsi="Calibri"/>
          <w:sz w:val="22"/>
          <w:szCs w:val="22"/>
        </w:rPr>
      </w:r>
    </w:p>
    <w:p>
      <w:pPr>
        <w:pStyle w:val="Normal"/>
        <w:spacing w:lineRule="atLeast" w:line="320" w:before="0" w:after="120"/>
        <w:rPr>
          <w:rFonts w:ascii="Calibri" w:hAnsi="Calibri" w:cs="Calibri"/>
          <w:sz w:val="22"/>
          <w:szCs w:val="22"/>
        </w:rPr>
      </w:pPr>
      <w:r>
        <w:rPr>
          <w:rFonts w:cs="Calibri" w:ascii="Calibri" w:hAnsi="Calibri"/>
          <w:sz w:val="22"/>
          <w:szCs w:val="22"/>
        </w:rPr>
      </w:r>
    </w:p>
    <w:p>
      <w:pPr>
        <w:pStyle w:val="Normal"/>
        <w:spacing w:lineRule="atLeast" w:line="320" w:before="0" w:after="120"/>
        <w:jc w:val="both"/>
        <w:rPr>
          <w:rFonts w:ascii="Calibri" w:hAnsi="Calibri" w:cs="Calibri"/>
          <w:sz w:val="22"/>
          <w:szCs w:val="22"/>
        </w:rPr>
      </w:pPr>
      <w:r>
        <w:rPr>
          <w:rFonts w:cs="Calibri" w:ascii="Calibri" w:hAnsi="Calibri"/>
          <w:sz w:val="22"/>
          <w:szCs w:val="22"/>
        </w:rPr>
      </w:r>
    </w:p>
    <w:p>
      <w:pPr>
        <w:pStyle w:val="Normal"/>
        <w:suppressAutoHyphens w:val="false"/>
        <w:rPr>
          <w:rFonts w:ascii="Calibri" w:hAnsi="Calibri" w:cs="Calibri"/>
          <w:sz w:val="22"/>
          <w:szCs w:val="22"/>
        </w:rPr>
      </w:pPr>
      <w:r>
        <w:rPr>
          <w:rFonts w:cs="Calibri" w:ascii="Calibri" w:hAnsi="Calibri"/>
          <w:sz w:val="22"/>
          <w:szCs w:val="22"/>
        </w:rPr>
      </w:r>
      <w:r>
        <w:br w:type="page"/>
      </w:r>
    </w:p>
    <w:p>
      <w:pPr>
        <w:pStyle w:val="Normal"/>
        <w:spacing w:lineRule="atLeast" w:line="320" w:before="0" w:after="120"/>
        <w:jc w:val="both"/>
        <w:rPr>
          <w:rFonts w:ascii="Calibri" w:hAnsi="Calibri" w:cs="Calibri"/>
          <w:sz w:val="22"/>
          <w:szCs w:val="22"/>
        </w:rPr>
      </w:pPr>
      <w:r>
        <w:rPr>
          <w:rFonts w:cs="Calibri" w:ascii="Calibri" w:hAnsi="Calibri"/>
          <w:sz w:val="22"/>
          <w:szCs w:val="22"/>
        </w:rPr>
        <w:t>Gli indicatori di processo della chirurgia generale sono allineati alla media regionale (Figura 28).</w:t>
      </w:r>
    </w:p>
    <w:p>
      <w:pPr>
        <w:pStyle w:val="Normal"/>
        <w:spacing w:lineRule="atLeast" w:line="320" w:before="0" w:after="120"/>
        <w:jc w:val="both"/>
        <w:rPr>
          <w:rFonts w:ascii="Calibri" w:hAnsi="Calibri" w:cs="Calibri"/>
          <w:sz w:val="22"/>
          <w:szCs w:val="22"/>
        </w:rPr>
      </w:pPr>
      <w:r>
        <w:rPr>
          <w:rFonts w:cs="Calibri" w:ascii="Calibri" w:hAnsi="Calibri" w:asciiTheme="minorHAnsi" w:cstheme="minorHAnsi" w:hAnsiTheme="minorHAnsi"/>
          <w:b/>
          <w:bCs/>
          <w:kern w:val="2"/>
          <w:sz w:val="22"/>
          <w:szCs w:val="32"/>
        </w:rPr>
        <w:t>Figura 28. Indicatori PrOsE chirurgia generale, per AUSL Toscana Centro, anno 2022</w:t>
      </w:r>
    </w:p>
    <w:p>
      <w:pPr>
        <w:pStyle w:val="Normal"/>
        <w:spacing w:lineRule="atLeast" w:line="320" w:before="0" w:after="120"/>
        <w:jc w:val="both"/>
        <w:rPr>
          <w:rFonts w:ascii="Calibri" w:hAnsi="Calibri" w:cs="Calibri"/>
          <w:sz w:val="22"/>
          <w:szCs w:val="22"/>
        </w:rPr>
      </w:pPr>
      <w:r>
        <w:rPr/>
        <w:drawing>
          <wp:inline distT="0" distB="0" distL="0" distR="0">
            <wp:extent cx="6120130" cy="2438400"/>
            <wp:effectExtent l="0" t="0" r="0" b="0"/>
            <wp:docPr id="50" name="Immagin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25" descr=""/>
                    <pic:cNvPicPr>
                      <a:picLocks noChangeAspect="1" noChangeArrowheads="1"/>
                    </pic:cNvPicPr>
                  </pic:nvPicPr>
                  <pic:blipFill>
                    <a:blip r:embed="rId48"/>
                    <a:stretch>
                      <a:fillRect/>
                    </a:stretch>
                  </pic:blipFill>
                  <pic:spPr bwMode="auto">
                    <a:xfrm>
                      <a:off x="0" y="0"/>
                      <a:ext cx="6120130" cy="2438400"/>
                    </a:xfrm>
                    <a:prstGeom prst="rect">
                      <a:avLst/>
                    </a:prstGeom>
                  </pic:spPr>
                </pic:pic>
              </a:graphicData>
            </a:graphic>
          </wp:inline>
        </w:drawing>
      </w:r>
    </w:p>
    <w:p>
      <w:pPr>
        <w:pStyle w:val="Normal"/>
        <w:spacing w:lineRule="atLeast" w:line="320" w:before="0" w:after="120"/>
        <w:jc w:val="both"/>
        <w:rPr>
          <w:rFonts w:ascii="Calibri" w:hAnsi="Calibri" w:cs="Calibri"/>
          <w:sz w:val="22"/>
          <w:szCs w:val="22"/>
        </w:rPr>
      </w:pPr>
      <w:r>
        <w:rPr>
          <w:rFonts w:cs="Calibri" w:ascii="Calibri" w:hAnsi="Calibri"/>
          <w:sz w:val="22"/>
          <w:szCs w:val="22"/>
        </w:rPr>
      </w:r>
    </w:p>
    <w:p>
      <w:pPr>
        <w:pStyle w:val="Normal"/>
        <w:spacing w:lineRule="atLeast" w:line="320" w:before="0" w:after="120"/>
        <w:jc w:val="both"/>
        <w:rPr>
          <w:rFonts w:ascii="Calibri" w:hAnsi="Calibri" w:cs="Calibri"/>
          <w:sz w:val="22"/>
          <w:szCs w:val="22"/>
        </w:rPr>
      </w:pPr>
      <w:r>
        <w:rPr>
          <w:rFonts w:cs="Calibri" w:ascii="Calibri" w:hAnsi="Calibri"/>
          <w:sz w:val="22"/>
          <w:szCs w:val="22"/>
        </w:rPr>
        <w:t>Il percorso nascita è caratterizzato da indicatori di esito compresi nella media regionale; per questi indicatori l’ultimo aggiornamento risale al 2021. (Figura 29).</w:t>
      </w:r>
    </w:p>
    <w:p>
      <w:pPr>
        <w:pStyle w:val="Normal"/>
        <w:spacing w:lineRule="atLeast" w:line="320" w:before="0" w:after="120"/>
        <w:rPr>
          <w:rFonts w:ascii="Calibri" w:hAnsi="Calibri" w:cs="Arial"/>
          <w:sz w:val="22"/>
          <w:szCs w:val="22"/>
        </w:rPr>
      </w:pPr>
      <w:r>
        <w:rPr>
          <w:rFonts w:cs="Calibri" w:ascii="Calibri" w:hAnsi="Calibri" w:asciiTheme="minorHAnsi" w:cstheme="minorHAnsi" w:hAnsiTheme="minorHAnsi"/>
          <w:b/>
          <w:bCs/>
          <w:kern w:val="2"/>
          <w:sz w:val="22"/>
          <w:szCs w:val="32"/>
        </w:rPr>
        <w:t>Figura 29. Indicatori PrOsE percorso nascita per AUSL Toscana Centro, anno 2021</w:t>
      </w:r>
    </w:p>
    <w:p>
      <w:pPr>
        <w:pStyle w:val="Normal"/>
        <w:spacing w:lineRule="atLeast" w:line="320" w:before="0" w:after="120"/>
        <w:rPr>
          <w:rFonts w:ascii="Calibri" w:hAnsi="Calibri" w:cs="Arial"/>
          <w:sz w:val="22"/>
          <w:szCs w:val="22"/>
        </w:rPr>
      </w:pPr>
      <w:r>
        <w:rPr/>
        <w:drawing>
          <wp:inline distT="0" distB="0" distL="0" distR="0">
            <wp:extent cx="6120130" cy="2815590"/>
            <wp:effectExtent l="0" t="0" r="0" b="0"/>
            <wp:docPr id="51" name="Immagin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2" descr=""/>
                    <pic:cNvPicPr>
                      <a:picLocks noChangeAspect="1" noChangeArrowheads="1"/>
                    </pic:cNvPicPr>
                  </pic:nvPicPr>
                  <pic:blipFill>
                    <a:blip r:embed="rId49"/>
                    <a:stretch>
                      <a:fillRect/>
                    </a:stretch>
                  </pic:blipFill>
                  <pic:spPr bwMode="auto">
                    <a:xfrm>
                      <a:off x="0" y="0"/>
                      <a:ext cx="6120130" cy="2815590"/>
                    </a:xfrm>
                    <a:prstGeom prst="rect">
                      <a:avLst/>
                    </a:prstGeom>
                  </pic:spPr>
                </pic:pic>
              </a:graphicData>
            </a:graphic>
          </wp:inline>
        </w:drawing>
      </w:r>
    </w:p>
    <w:p>
      <w:pPr>
        <w:pStyle w:val="Normal"/>
        <w:suppressAutoHyphens w:val="false"/>
        <w:rPr>
          <w:rFonts w:ascii="Calibri" w:hAnsi="Calibri" w:cs="Calibri"/>
          <w:sz w:val="22"/>
          <w:szCs w:val="22"/>
        </w:rPr>
      </w:pPr>
      <w:r>
        <w:rPr>
          <w:rFonts w:cs="Calibri" w:ascii="Calibri" w:hAnsi="Calibri"/>
          <w:sz w:val="22"/>
          <w:szCs w:val="22"/>
        </w:rPr>
      </w:r>
      <w:r>
        <w:br w:type="page"/>
      </w:r>
    </w:p>
    <w:p>
      <w:pPr>
        <w:pStyle w:val="Normal"/>
        <w:spacing w:lineRule="atLeast" w:line="320" w:before="0" w:after="120"/>
        <w:rPr>
          <w:rFonts w:ascii="Calibri" w:hAnsi="Calibri" w:cs="Calibri"/>
          <w:sz w:val="22"/>
          <w:szCs w:val="22"/>
        </w:rPr>
      </w:pPr>
      <w:r>
        <w:rPr>
          <w:rFonts w:cs="Calibri" w:ascii="Calibri" w:hAnsi="Calibri"/>
          <w:sz w:val="22"/>
          <w:szCs w:val="22"/>
        </w:rPr>
      </w:r>
    </w:p>
    <w:p>
      <w:pPr>
        <w:pStyle w:val="Normal"/>
        <w:spacing w:lineRule="atLeast" w:line="320" w:before="0" w:after="120"/>
        <w:jc w:val="both"/>
        <w:rPr>
          <w:rFonts w:ascii="Calibri" w:hAnsi="Calibri" w:cs="Calibri"/>
          <w:sz w:val="22"/>
          <w:szCs w:val="22"/>
        </w:rPr>
      </w:pPr>
      <w:r>
        <w:rPr>
          <w:rFonts w:cs="Calibri" w:ascii="Calibri" w:hAnsi="Calibri"/>
          <w:sz w:val="22"/>
          <w:szCs w:val="22"/>
        </w:rPr>
        <w:t xml:space="preserve">La mortalità post ricovero per frattura del femore è nella media regionale, anche se perdura il trend negativo ormai presente da oltre un triennio di bassa tempestività dell’intervento (Figura 30). </w:t>
      </w:r>
    </w:p>
    <w:p>
      <w:pPr>
        <w:pStyle w:val="Normal"/>
        <w:spacing w:lineRule="atLeast" w:line="320" w:before="0" w:after="120"/>
        <w:rPr>
          <w:rFonts w:ascii="Calibri" w:hAnsi="Calibri" w:cs="Arial"/>
          <w:sz w:val="22"/>
          <w:szCs w:val="22"/>
        </w:rPr>
      </w:pPr>
      <w:r>
        <w:rPr>
          <w:rFonts w:cs="Calibri" w:ascii="Calibri" w:hAnsi="Calibri" w:asciiTheme="minorHAnsi" w:cstheme="minorHAnsi" w:hAnsiTheme="minorHAnsi"/>
          <w:b/>
          <w:bCs/>
          <w:kern w:val="2"/>
          <w:sz w:val="22"/>
          <w:szCs w:val="32"/>
        </w:rPr>
        <w:t>Figura 30. Indicatori PrOsE area ortopedica per AUSL Toscana Centro, anno 2022</w:t>
      </w:r>
    </w:p>
    <w:p>
      <w:pPr>
        <w:pStyle w:val="Normal"/>
        <w:spacing w:lineRule="atLeast" w:line="320" w:before="0" w:after="120"/>
        <w:jc w:val="both"/>
        <w:rPr>
          <w:rFonts w:ascii="Calibri" w:hAnsi="Calibri" w:cs="Calibri"/>
          <w:sz w:val="22"/>
          <w:szCs w:val="22"/>
        </w:rPr>
      </w:pPr>
      <w:r>
        <w:rPr/>
        <w:drawing>
          <wp:inline distT="0" distB="0" distL="0" distR="0">
            <wp:extent cx="6120130" cy="1666240"/>
            <wp:effectExtent l="0" t="0" r="0" b="0"/>
            <wp:docPr id="52" name="Immagin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29" descr=""/>
                    <pic:cNvPicPr>
                      <a:picLocks noChangeAspect="1" noChangeArrowheads="1"/>
                    </pic:cNvPicPr>
                  </pic:nvPicPr>
                  <pic:blipFill>
                    <a:blip r:embed="rId50"/>
                    <a:stretch>
                      <a:fillRect/>
                    </a:stretch>
                  </pic:blipFill>
                  <pic:spPr bwMode="auto">
                    <a:xfrm>
                      <a:off x="0" y="0"/>
                      <a:ext cx="6120130" cy="1666240"/>
                    </a:xfrm>
                    <a:prstGeom prst="rect">
                      <a:avLst/>
                    </a:prstGeom>
                  </pic:spPr>
                </pic:pic>
              </a:graphicData>
            </a:graphic>
          </wp:inline>
        </w:drawing>
      </w:r>
    </w:p>
    <w:p>
      <w:pPr>
        <w:pStyle w:val="Normal"/>
        <w:spacing w:lineRule="atLeast" w:line="320" w:before="0" w:after="120"/>
        <w:jc w:val="both"/>
        <w:rPr>
          <w:rFonts w:ascii="Calibri" w:hAnsi="Calibri" w:cs="Calibri"/>
          <w:sz w:val="22"/>
          <w:szCs w:val="22"/>
        </w:rPr>
      </w:pPr>
      <w:r>
        <w:rPr>
          <w:rFonts w:cs="Calibri" w:ascii="Calibri" w:hAnsi="Calibri"/>
          <w:sz w:val="22"/>
          <w:szCs w:val="22"/>
        </w:rPr>
        <w:t>Nella media regionale anche le prestazioni della chirurgia vascolare (Figura 31).</w:t>
      </w:r>
    </w:p>
    <w:p>
      <w:pPr>
        <w:pStyle w:val="Normal"/>
        <w:spacing w:lineRule="atLeast" w:line="320" w:before="0" w:after="120"/>
        <w:jc w:val="both"/>
        <w:rPr>
          <w:rFonts w:ascii="Calibri" w:hAnsi="Calibri" w:cs="Calibri"/>
          <w:b/>
          <w:b/>
          <w:sz w:val="22"/>
          <w:szCs w:val="22"/>
        </w:rPr>
      </w:pPr>
      <w:r>
        <w:rPr>
          <w:rFonts w:cs="Calibri" w:ascii="Calibri" w:hAnsi="Calibri"/>
          <w:b/>
          <w:sz w:val="22"/>
          <w:szCs w:val="22"/>
        </w:rPr>
        <w:t>Figura 31. Indicatori PrOsE chirurgia vascolare per AUSL Toscana Centro, anno 2022</w:t>
      </w:r>
    </w:p>
    <w:p>
      <w:pPr>
        <w:pStyle w:val="Normal"/>
        <w:spacing w:lineRule="atLeast" w:line="320" w:before="0" w:after="120"/>
        <w:jc w:val="both"/>
        <w:rPr>
          <w:rFonts w:ascii="Calibri" w:hAnsi="Calibri" w:cs="Calibri"/>
          <w:sz w:val="22"/>
          <w:szCs w:val="22"/>
        </w:rPr>
      </w:pPr>
      <w:bookmarkStart w:id="45" w:name="_Toc138235654"/>
      <w:r>
        <w:rPr/>
        <w:drawing>
          <wp:inline distT="0" distB="0" distL="0" distR="0">
            <wp:extent cx="6120130" cy="966470"/>
            <wp:effectExtent l="0" t="0" r="0" b="0"/>
            <wp:docPr id="53" name="Immagin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 34" descr=""/>
                    <pic:cNvPicPr>
                      <a:picLocks noChangeAspect="1" noChangeArrowheads="1"/>
                    </pic:cNvPicPr>
                  </pic:nvPicPr>
                  <pic:blipFill>
                    <a:blip r:embed="rId51"/>
                    <a:stretch>
                      <a:fillRect/>
                    </a:stretch>
                  </pic:blipFill>
                  <pic:spPr bwMode="auto">
                    <a:xfrm>
                      <a:off x="0" y="0"/>
                      <a:ext cx="6120130" cy="966470"/>
                    </a:xfrm>
                    <a:prstGeom prst="rect">
                      <a:avLst/>
                    </a:prstGeom>
                  </pic:spPr>
                </pic:pic>
              </a:graphicData>
            </a:graphic>
          </wp:inline>
        </w:drawing>
      </w:r>
      <w:bookmarkEnd w:id="45"/>
    </w:p>
    <w:p>
      <w:pPr>
        <w:pStyle w:val="Normal"/>
        <w:spacing w:lineRule="atLeast" w:line="320" w:before="0" w:after="120"/>
        <w:jc w:val="both"/>
        <w:rPr>
          <w:rFonts w:ascii="Calibri" w:hAnsi="Calibri" w:cs="Calibri"/>
          <w:sz w:val="22"/>
          <w:szCs w:val="22"/>
        </w:rPr>
      </w:pPr>
      <w:r>
        <w:rPr>
          <w:rFonts w:cs="Calibri" w:ascii="Calibri" w:hAnsi="Calibri"/>
          <w:sz w:val="22"/>
          <w:szCs w:val="22"/>
        </w:rPr>
      </w:r>
    </w:p>
    <w:p>
      <w:pPr>
        <w:pStyle w:val="Normal"/>
        <w:spacing w:lineRule="atLeast" w:line="320" w:before="0" w:after="120"/>
        <w:jc w:val="both"/>
        <w:rPr>
          <w:rFonts w:ascii="Calibri" w:hAnsi="Calibri" w:cs="Calibri"/>
          <w:sz w:val="22"/>
          <w:szCs w:val="22"/>
        </w:rPr>
      </w:pPr>
      <w:r>
        <w:rPr>
          <w:rFonts w:cs="Calibri" w:ascii="Calibri" w:hAnsi="Calibri"/>
          <w:sz w:val="22"/>
          <w:szCs w:val="22"/>
        </w:rPr>
      </w:r>
      <w:r>
        <w:br w:type="page"/>
      </w:r>
    </w:p>
    <w:p>
      <w:pPr>
        <w:pStyle w:val="Titoloprincipale"/>
        <w:spacing w:lineRule="atLeast" w:line="320" w:before="0" w:after="120"/>
        <w:jc w:val="left"/>
        <w:rPr>
          <w:rFonts w:ascii="Calibri" w:hAnsi="Calibri" w:cs="Calibri"/>
          <w:sz w:val="28"/>
          <w:szCs w:val="28"/>
        </w:rPr>
      </w:pPr>
      <w:r>
        <w:rPr>
          <w:rFonts w:cs="Calibri" w:ascii="Calibri" w:hAnsi="Calibri"/>
          <w:sz w:val="28"/>
          <w:szCs w:val="28"/>
        </w:rPr>
      </w:r>
    </w:p>
    <w:p>
      <w:pPr>
        <w:pStyle w:val="Titoloprincipale"/>
        <w:numPr>
          <w:ilvl w:val="0"/>
          <w:numId w:val="1"/>
        </w:numPr>
        <w:tabs>
          <w:tab w:val="clear" w:pos="708"/>
          <w:tab w:val="left" w:pos="350" w:leader="none"/>
        </w:tabs>
        <w:spacing w:lineRule="atLeast" w:line="320" w:before="0" w:after="120"/>
        <w:ind w:left="0" w:hanging="0"/>
        <w:jc w:val="left"/>
        <w:rPr>
          <w:rFonts w:ascii="Calibri" w:hAnsi="Calibri" w:cs="Calibri"/>
          <w:sz w:val="28"/>
          <w:szCs w:val="28"/>
        </w:rPr>
      </w:pPr>
      <w:bookmarkStart w:id="46" w:name="_Toc152228361"/>
      <w:bookmarkStart w:id="47" w:name="_Toc120874294"/>
      <w:r>
        <w:rPr>
          <w:rFonts w:cs="Calibri" w:ascii="Calibri" w:hAnsi="Calibri"/>
          <w:sz w:val="28"/>
          <w:szCs w:val="28"/>
        </w:rPr>
        <w:t>RISULTATI DI ATTIVITÀ SANITARIA</w:t>
      </w:r>
      <w:bookmarkEnd w:id="46"/>
      <w:bookmarkEnd w:id="47"/>
    </w:p>
    <w:p>
      <w:pPr>
        <w:pStyle w:val="Titolo2"/>
        <w:spacing w:lineRule="atLeast" w:line="320" w:before="0" w:after="120"/>
        <w:jc w:val="both"/>
        <w:rPr>
          <w:rFonts w:ascii="Calibri" w:hAnsi="Calibri" w:cs="Calibri"/>
          <w:i w:val="false"/>
          <w:i w:val="false"/>
          <w:iCs w:val="false"/>
          <w:sz w:val="22"/>
          <w:szCs w:val="22"/>
        </w:rPr>
      </w:pPr>
      <w:bookmarkStart w:id="48" w:name="_Toc152228362"/>
      <w:bookmarkStart w:id="49" w:name="_Toc120874295"/>
      <w:r>
        <w:rPr>
          <w:rFonts w:cs="Calibri" w:ascii="Calibri" w:hAnsi="Calibri"/>
          <w:i w:val="false"/>
          <w:iCs w:val="false"/>
          <w:sz w:val="22"/>
          <w:szCs w:val="22"/>
        </w:rPr>
        <w:t>6.1 METODOLOGIA DI CALCOLO</w:t>
      </w:r>
      <w:bookmarkEnd w:id="48"/>
      <w:bookmarkEnd w:id="49"/>
    </w:p>
    <w:p>
      <w:pPr>
        <w:pStyle w:val="Normal"/>
        <w:spacing w:lineRule="atLeast" w:line="320" w:before="0" w:after="120"/>
        <w:jc w:val="both"/>
        <w:rPr>
          <w:rFonts w:ascii="Calibri" w:hAnsi="Calibri" w:cs="Calibri"/>
          <w:sz w:val="22"/>
          <w:szCs w:val="22"/>
        </w:rPr>
      </w:pPr>
      <w:r>
        <w:rPr>
          <w:rFonts w:cs="Calibri" w:ascii="Calibri" w:hAnsi="Calibri"/>
          <w:sz w:val="22"/>
          <w:szCs w:val="22"/>
        </w:rPr>
        <w:t xml:space="preserve">Gli obiettivi assegnati sono stati di due tipi: quantitativi e qualitativo/ documentali. </w:t>
      </w:r>
    </w:p>
    <w:p>
      <w:pPr>
        <w:pStyle w:val="Normal"/>
        <w:spacing w:lineRule="atLeast" w:line="320" w:before="0" w:after="120"/>
        <w:jc w:val="both"/>
        <w:rPr>
          <w:rFonts w:ascii="Calibri" w:hAnsi="Calibri" w:cs="Calibri"/>
          <w:sz w:val="22"/>
          <w:szCs w:val="22"/>
        </w:rPr>
      </w:pPr>
      <w:r>
        <w:rPr>
          <w:rFonts w:cs="Calibri" w:ascii="Calibri" w:hAnsi="Calibri"/>
          <w:sz w:val="22"/>
          <w:szCs w:val="22"/>
        </w:rPr>
        <w:t>Gli obiettivi quantitativi sono verificabili attraverso una serie di indicatori numerici e si riferiscono a volumi di attività, misure di processo e di esito. Gli obiettivi di natura qualitativa/documentale sono verificati dei direttori di struttura con certificazione di documenti/report e di produzione di allegati. Gli obiettivi traggono origine da documenti d’indirizzo e programmazione regionale e nazionale. Comprendono anche elementi di gestione del personale attraverso le strategie di sviluppo professionale e dei dirigenti afferenti alla struttura. Gli obiettivi si articolano attraverso l’integrazione dei piani di consolidamento e sviluppo aziendale e attraverso la normativa che per i prossimi anni sarà alla base della programmazione annuale. Gli indicatori utilizzati derivano dal Piano Integrato Socio Sanitario Regionale, dal Nuovo Sistema di Garanzia, dai livelli essenziali di assistenza (Nuova griglia LEA), dal sistema di valutazione della performance del Sistema Sanitario Regionale realizzato del laboratorio MES, della Scuola Superiore S. Anna di Pisa.  Altri obiettivi sono mediati dal Piano regionale per l’osservazione degli esiti PROSE dell’agenzia regionale di sanità Toscana, per presidiare l’efficacia delle cure attraverso la misura degli esiti. Infine gli obiettivi di efficienza del sistema derivano dallo sviluppo della Gestione Operativa per la messa a flusso del percorso chirurgico, del percorso ambulatoriale e del percorso per il ricovero urgente o in elezione.</w:t>
      </w:r>
    </w:p>
    <w:p>
      <w:pPr>
        <w:pStyle w:val="Normal"/>
        <w:spacing w:lineRule="atLeast" w:line="320" w:before="0" w:after="120"/>
        <w:jc w:val="both"/>
        <w:rPr>
          <w:rFonts w:ascii="Calibri" w:hAnsi="Calibri" w:cs="Calibri"/>
          <w:sz w:val="22"/>
          <w:szCs w:val="22"/>
        </w:rPr>
      </w:pPr>
      <w:r>
        <w:rPr>
          <w:rFonts w:cs="Calibri" w:ascii="Calibri" w:hAnsi="Calibri"/>
          <w:sz w:val="22"/>
          <w:szCs w:val="22"/>
        </w:rPr>
        <w:t>Per gli obiettivi quantitativi sono definite tre modalità di misurazione:</w:t>
      </w:r>
    </w:p>
    <w:p>
      <w:pPr>
        <w:pStyle w:val="ListParagraph"/>
        <w:numPr>
          <w:ilvl w:val="0"/>
          <w:numId w:val="14"/>
        </w:numPr>
        <w:spacing w:lineRule="atLeast" w:line="320" w:before="20" w:after="120"/>
        <w:jc w:val="both"/>
        <w:rPr>
          <w:rFonts w:ascii="Calibri" w:hAnsi="Calibri" w:cs="Calibri"/>
          <w:lang w:val="it-IT"/>
        </w:rPr>
      </w:pPr>
      <w:r>
        <w:rPr>
          <w:rFonts w:cs="Calibri" w:ascii="Calibri" w:hAnsi="Calibri"/>
          <w:lang w:val="it-IT"/>
        </w:rPr>
        <w:t xml:space="preserve">Standard interni. Tale approccio è utile a creare un sistema di </w:t>
      </w:r>
      <w:r>
        <w:rPr>
          <w:rFonts w:cs="Calibri" w:ascii="Calibri" w:hAnsi="Calibri"/>
          <w:i/>
          <w:lang w:val="it-IT"/>
        </w:rPr>
        <w:t>benchmarking</w:t>
      </w:r>
      <w:r>
        <w:rPr>
          <w:rFonts w:cs="Calibri" w:ascii="Calibri" w:hAnsi="Calibri"/>
          <w:lang w:val="it-IT"/>
        </w:rPr>
        <w:t xml:space="preserve"> interno ed è poco influenzato da variabili esterne al sistema, infatti tutte le strutture hanno la medesima esposizione agli eventuali elementi di perturbazione.  Lo standard di riferimento è migliore performance all’interno della nostra azienda tra discipline omogenee, che diviene il risultato atteso di riferimento, a cui sarà attribuito il 100% di raggiungimento. Gli scostamenti rispetto allo standard, sempre misurati in centili, rappresenteranno il livello di attribuzione di quell’obiettivo. Ad esempio: se la Struttura A ha un valore 7,2 in un obiettivo con andamento crescente, dove per ipotesi, la miglior performance ha un valore di 8, avrà raggiunto l’obiettivo al 90% e quindi gli verrà attribuito il 90% del peso di quello specifico obiettivo.</w:t>
      </w:r>
    </w:p>
    <w:p>
      <w:pPr>
        <w:pStyle w:val="ListParagraph"/>
        <w:numPr>
          <w:ilvl w:val="0"/>
          <w:numId w:val="14"/>
        </w:numPr>
        <w:spacing w:lineRule="atLeast" w:line="320" w:before="20" w:after="120"/>
        <w:jc w:val="both"/>
        <w:rPr>
          <w:rFonts w:ascii="Calibri" w:hAnsi="Calibri" w:cs="Calibri"/>
          <w:lang w:val="it-IT"/>
        </w:rPr>
      </w:pPr>
      <w:r>
        <w:rPr>
          <w:rFonts w:cs="Calibri" w:ascii="Calibri" w:hAnsi="Calibri"/>
          <w:lang w:val="it-IT"/>
        </w:rPr>
        <w:t>Standard derivanti da normative cogenti: dove prevista una soglia definita da una istituzione europea, nazionale, regionale, il raggiungimento dell’obiettivo è valutato rispetto al raggiungimento dello standard. Ad esempio: volumi soglia di interventi per la chirurgia del tumore della mammella che ne garantiscano la qualità dell’esito.</w:t>
      </w:r>
    </w:p>
    <w:p>
      <w:pPr>
        <w:pStyle w:val="ListParagraph"/>
        <w:numPr>
          <w:ilvl w:val="0"/>
          <w:numId w:val="14"/>
        </w:numPr>
        <w:spacing w:lineRule="atLeast" w:line="320" w:before="20" w:after="120"/>
        <w:jc w:val="both"/>
        <w:rPr>
          <w:rFonts w:ascii="Calibri" w:hAnsi="Calibri" w:cs="Calibri"/>
          <w:lang w:val="it-IT"/>
        </w:rPr>
      </w:pPr>
      <w:r>
        <w:rPr>
          <w:rFonts w:cs="Calibri" w:ascii="Calibri" w:hAnsi="Calibri"/>
          <w:lang w:val="it-IT"/>
        </w:rPr>
        <w:t>Standard derivanti da sistemi di valutazione terzi: Il sistema di valutazione delle performance regionale, sviluppato dal laboratorio di management e sanità (MeS) dalla Scuola Superiore Sant’Anna di Pisa, ne rappresenta il prototipo. Nelle fattispecie, ove sia applicabile, si procede valutando il target a livello aziendale (o di stabilimento) rispetto al network delle aziende regionali (bersaglio del MeS) e si attribuisce una valorizzazione basata su quella del sistema di valutazione delle performance. Fascia migliore 100% del peso relativo, a seguire 80%, 60% per fascia intermedia, 40% a seguire e 20% per la fascia peggiore.</w:t>
      </w:r>
    </w:p>
    <w:p>
      <w:pPr>
        <w:pStyle w:val="Normal"/>
        <w:spacing w:lineRule="atLeast" w:line="320" w:before="0" w:after="120"/>
        <w:jc w:val="both"/>
        <w:rPr>
          <w:rFonts w:ascii="Calibri" w:hAnsi="Calibri" w:cs="Calibri"/>
          <w:sz w:val="22"/>
          <w:szCs w:val="22"/>
        </w:rPr>
      </w:pPr>
      <w:r>
        <w:rPr>
          <w:rFonts w:cs="Calibri" w:ascii="Calibri" w:hAnsi="Calibri"/>
          <w:sz w:val="22"/>
          <w:szCs w:val="22"/>
        </w:rPr>
        <w:t xml:space="preserve">Gli obiettivi qualitativo/ documentali sono valutati in base al materiale pervenuto. La valutazione è stata effettuata </w:t>
      </w:r>
      <w:bookmarkStart w:id="50" w:name="_Hlk120547186"/>
      <w:r>
        <w:rPr>
          <w:rFonts w:cs="Calibri" w:ascii="Calibri" w:hAnsi="Calibri"/>
          <w:sz w:val="22"/>
          <w:szCs w:val="22"/>
        </w:rPr>
        <w:t xml:space="preserve">attribuendo al peso dell’indicatore i coefficienti della tabella </w:t>
      </w:r>
      <w:bookmarkEnd w:id="50"/>
      <w:r>
        <w:rPr>
          <w:rFonts w:cs="Calibri" w:ascii="Calibri" w:hAnsi="Calibri"/>
          <w:sz w:val="22"/>
          <w:szCs w:val="22"/>
        </w:rPr>
        <w:t>33. Eventuali valutazioni discordanti tra i due valutatori sono discusse fino al raggiungimento dell’accordo.</w:t>
      </w:r>
    </w:p>
    <w:p>
      <w:pPr>
        <w:pStyle w:val="Normal"/>
        <w:spacing w:lineRule="atLeast" w:line="320" w:before="0" w:after="120"/>
        <w:jc w:val="both"/>
        <w:rPr>
          <w:rFonts w:ascii="Calibri" w:hAnsi="Calibri" w:cs="Calibri"/>
          <w:sz w:val="22"/>
          <w:szCs w:val="22"/>
        </w:rPr>
      </w:pPr>
      <w:r>
        <w:rPr>
          <w:rFonts w:cs="Calibri" w:ascii="Calibri" w:hAnsi="Calibri"/>
          <w:sz w:val="22"/>
          <w:szCs w:val="22"/>
        </w:rPr>
      </w:r>
    </w:p>
    <w:p>
      <w:pPr>
        <w:pStyle w:val="Normal"/>
        <w:spacing w:lineRule="atLeast" w:line="320" w:before="0" w:after="120"/>
        <w:jc w:val="both"/>
        <w:rPr>
          <w:rFonts w:ascii="Calibri" w:hAnsi="Calibri" w:cs="Calibri"/>
          <w:b/>
          <w:b/>
          <w:sz w:val="22"/>
          <w:szCs w:val="22"/>
        </w:rPr>
      </w:pPr>
      <w:r>
        <w:rPr>
          <w:rFonts w:cs="Calibri" w:ascii="Calibri" w:hAnsi="Calibri"/>
          <w:b/>
          <w:sz w:val="22"/>
          <w:szCs w:val="22"/>
        </w:rPr>
        <w:t>Tabella 33 criteri di valutazione degli obiettivi qualitativo/ documentali</w:t>
      </w:r>
    </w:p>
    <w:tbl>
      <w:tblPr>
        <w:tblStyle w:val="Grigliatabell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7941"/>
        <w:gridCol w:w="1696"/>
      </w:tblGrid>
      <w:tr>
        <w:trPr/>
        <w:tc>
          <w:tcPr>
            <w:tcW w:w="7941" w:type="dxa"/>
            <w:tcBorders/>
          </w:tcPr>
          <w:p>
            <w:pPr>
              <w:pStyle w:val="Normal"/>
              <w:widowControl/>
              <w:suppressAutoHyphens w:val="true"/>
              <w:spacing w:before="0" w:after="0"/>
              <w:jc w:val="center"/>
              <w:rPr>
                <w:rFonts w:ascii="Calibri" w:hAnsi="Calibri" w:cs="Calibri"/>
                <w:b/>
                <w:b/>
                <w:color w:val="000000"/>
                <w:sz w:val="22"/>
                <w:szCs w:val="22"/>
              </w:rPr>
            </w:pPr>
            <w:r>
              <w:rPr>
                <w:rFonts w:eastAsia="Times New Roman" w:cs="Calibri" w:ascii="Calibri" w:hAnsi="Calibri"/>
                <w:b/>
                <w:color w:val="000000"/>
                <w:kern w:val="0"/>
                <w:sz w:val="22"/>
                <w:szCs w:val="22"/>
                <w:lang w:val="it-IT" w:eastAsia="it-IT" w:bidi="ar-SA"/>
              </w:rPr>
              <w:t>Caso</w:t>
            </w:r>
          </w:p>
        </w:tc>
        <w:tc>
          <w:tcPr>
            <w:tcW w:w="1696" w:type="dxa"/>
            <w:tcBorders/>
          </w:tcPr>
          <w:p>
            <w:pPr>
              <w:pStyle w:val="Normal"/>
              <w:widowControl/>
              <w:suppressAutoHyphens w:val="true"/>
              <w:spacing w:before="0" w:after="0"/>
              <w:jc w:val="center"/>
              <w:rPr>
                <w:rFonts w:ascii="Calibri" w:hAnsi="Calibri" w:cs="Calibri"/>
                <w:b/>
                <w:b/>
                <w:color w:val="000000"/>
                <w:sz w:val="22"/>
                <w:szCs w:val="22"/>
              </w:rPr>
            </w:pPr>
            <w:r>
              <w:rPr>
                <w:rFonts w:eastAsia="Times New Roman" w:cs="Calibri" w:ascii="Calibri" w:hAnsi="Calibri"/>
                <w:b/>
                <w:color w:val="000000"/>
                <w:kern w:val="0"/>
                <w:sz w:val="22"/>
                <w:szCs w:val="22"/>
                <w:lang w:val="it-IT" w:eastAsia="it-IT" w:bidi="ar-SA"/>
              </w:rPr>
              <w:t>Coefficiente</w:t>
            </w:r>
          </w:p>
        </w:tc>
      </w:tr>
      <w:tr>
        <w:trPr/>
        <w:tc>
          <w:tcPr>
            <w:tcW w:w="7941" w:type="dxa"/>
            <w:tcBorders/>
            <w:vAlign w:val="center"/>
          </w:tcPr>
          <w:p>
            <w:pPr>
              <w:pStyle w:val="ListParagraph"/>
              <w:widowControl w:val="false"/>
              <w:numPr>
                <w:ilvl w:val="0"/>
                <w:numId w:val="15"/>
              </w:numPr>
              <w:suppressAutoHyphens w:val="false"/>
              <w:spacing w:before="0" w:after="0"/>
              <w:ind w:left="314" w:hanging="314"/>
              <w:contextualSpacing/>
              <w:jc w:val="left"/>
              <w:rPr>
                <w:rFonts w:ascii="Calibri" w:hAnsi="Calibri" w:cs="Calibri"/>
                <w:color w:val="000000"/>
                <w:lang w:val="it-IT"/>
              </w:rPr>
            </w:pPr>
            <w:r>
              <w:rPr>
                <w:rFonts w:eastAsia="Times New Roman" w:cs="Calibri" w:ascii="Calibri" w:hAnsi="Calibri"/>
                <w:color w:val="000000"/>
                <w:kern w:val="0"/>
                <w:lang w:val="it-IT" w:bidi="ar-SA"/>
              </w:rPr>
              <w:t xml:space="preserve">La documentazione prodotta testimonia il raggiungimento del target ovvero viene prodotta una giustificazione plausibile e non imputabile a struttura giudicata in caso di mancato raggiungimento </w:t>
            </w:r>
          </w:p>
        </w:tc>
        <w:tc>
          <w:tcPr>
            <w:tcW w:w="1696" w:type="dxa"/>
            <w:tcBorders/>
            <w:vAlign w:val="center"/>
          </w:tcPr>
          <w:p>
            <w:pPr>
              <w:pStyle w:val="Normal"/>
              <w:widowControl/>
              <w:suppressAutoHyphens w:val="true"/>
              <w:spacing w:before="0" w:after="0"/>
              <w:jc w:val="center"/>
              <w:rPr>
                <w:rFonts w:ascii="Calibri" w:hAnsi="Calibri" w:cs="Calibri"/>
                <w:color w:val="000000"/>
                <w:sz w:val="22"/>
                <w:szCs w:val="22"/>
              </w:rPr>
            </w:pPr>
            <w:r>
              <w:rPr>
                <w:rFonts w:eastAsia="Times New Roman" w:cs="Calibri" w:ascii="Calibri" w:hAnsi="Calibri"/>
                <w:b/>
                <w:color w:val="000000"/>
                <w:kern w:val="0"/>
                <w:sz w:val="22"/>
                <w:szCs w:val="22"/>
                <w:lang w:val="it-IT" w:eastAsia="it-IT" w:bidi="ar-SA"/>
              </w:rPr>
              <w:t>1,0</w:t>
            </w:r>
          </w:p>
        </w:tc>
      </w:tr>
      <w:tr>
        <w:trPr/>
        <w:tc>
          <w:tcPr>
            <w:tcW w:w="7941" w:type="dxa"/>
            <w:tcBorders/>
          </w:tcPr>
          <w:p>
            <w:pPr>
              <w:pStyle w:val="ListParagraph"/>
              <w:widowControl w:val="false"/>
              <w:numPr>
                <w:ilvl w:val="0"/>
                <w:numId w:val="15"/>
              </w:numPr>
              <w:suppressAutoHyphens w:val="false"/>
              <w:spacing w:before="0" w:after="0"/>
              <w:ind w:left="314" w:hanging="314"/>
              <w:contextualSpacing/>
              <w:jc w:val="left"/>
              <w:rPr>
                <w:rFonts w:ascii="Calibri" w:hAnsi="Calibri" w:cs="Calibri"/>
                <w:color w:val="000000"/>
                <w:lang w:val="it-IT"/>
              </w:rPr>
            </w:pPr>
            <w:r>
              <w:rPr>
                <w:rFonts w:eastAsia="Times New Roman" w:cs="Calibri" w:ascii="Calibri" w:hAnsi="Calibri"/>
                <w:color w:val="000000"/>
                <w:kern w:val="0"/>
                <w:lang w:val="it-IT" w:bidi="ar-SA"/>
              </w:rPr>
              <w:t>Target non pienamente raggiunto. Si evidenzia comunque dalla documentazione che sono state messe in atto azioni concrete orientate al perseguimento dell’obiettivo.</w:t>
            </w:r>
          </w:p>
        </w:tc>
        <w:tc>
          <w:tcPr>
            <w:tcW w:w="1696" w:type="dxa"/>
            <w:tcBorders/>
            <w:vAlign w:val="center"/>
          </w:tcPr>
          <w:p>
            <w:pPr>
              <w:pStyle w:val="Normal"/>
              <w:widowControl/>
              <w:suppressAutoHyphens w:val="true"/>
              <w:spacing w:before="0" w:after="0"/>
              <w:jc w:val="center"/>
              <w:rPr>
                <w:rFonts w:ascii="Calibri" w:hAnsi="Calibri" w:cs="Calibri"/>
                <w:color w:val="000000"/>
                <w:sz w:val="22"/>
                <w:szCs w:val="22"/>
              </w:rPr>
            </w:pPr>
            <w:r>
              <w:rPr>
                <w:rFonts w:eastAsia="Times New Roman" w:cs="Calibri" w:ascii="Calibri" w:hAnsi="Calibri"/>
                <w:b/>
                <w:color w:val="000000"/>
                <w:kern w:val="0"/>
                <w:sz w:val="22"/>
                <w:szCs w:val="22"/>
                <w:lang w:val="it-IT" w:eastAsia="it-IT" w:bidi="ar-SA"/>
              </w:rPr>
              <w:t>0,75</w:t>
            </w:r>
          </w:p>
        </w:tc>
      </w:tr>
      <w:tr>
        <w:trPr/>
        <w:tc>
          <w:tcPr>
            <w:tcW w:w="7941" w:type="dxa"/>
            <w:tcBorders/>
          </w:tcPr>
          <w:p>
            <w:pPr>
              <w:pStyle w:val="ListParagraph"/>
              <w:widowControl w:val="false"/>
              <w:numPr>
                <w:ilvl w:val="0"/>
                <w:numId w:val="15"/>
              </w:numPr>
              <w:suppressAutoHyphens w:val="false"/>
              <w:spacing w:before="0" w:after="0"/>
              <w:ind w:left="314" w:hanging="314"/>
              <w:contextualSpacing/>
              <w:jc w:val="left"/>
              <w:rPr>
                <w:rFonts w:ascii="Calibri" w:hAnsi="Calibri" w:cs="Calibri"/>
                <w:color w:val="000000"/>
                <w:lang w:val="it-IT"/>
              </w:rPr>
            </w:pPr>
            <w:r>
              <w:rPr>
                <w:rFonts w:eastAsia="Times New Roman" w:cs="Calibri" w:ascii="Calibri" w:hAnsi="Calibri"/>
                <w:color w:val="000000"/>
                <w:kern w:val="0"/>
                <w:lang w:val="it-IT" w:bidi="ar-SA"/>
              </w:rPr>
              <w:t>Target parzialmente raggiunto e/o documentazione prodotta non idonea a valutarne il pieno raggiungimento.</w:t>
            </w:r>
          </w:p>
        </w:tc>
        <w:tc>
          <w:tcPr>
            <w:tcW w:w="1696" w:type="dxa"/>
            <w:tcBorders/>
            <w:vAlign w:val="center"/>
          </w:tcPr>
          <w:p>
            <w:pPr>
              <w:pStyle w:val="Normal"/>
              <w:widowControl/>
              <w:suppressAutoHyphens w:val="true"/>
              <w:spacing w:before="0" w:after="0"/>
              <w:jc w:val="center"/>
              <w:rPr>
                <w:rFonts w:ascii="Calibri" w:hAnsi="Calibri" w:cs="Calibri"/>
                <w:b/>
                <w:b/>
                <w:color w:val="000000"/>
                <w:sz w:val="22"/>
                <w:szCs w:val="22"/>
              </w:rPr>
            </w:pPr>
            <w:r>
              <w:rPr>
                <w:rFonts w:eastAsia="Times New Roman" w:cs="Calibri" w:ascii="Calibri" w:hAnsi="Calibri"/>
                <w:b/>
                <w:color w:val="000000"/>
                <w:kern w:val="0"/>
                <w:sz w:val="22"/>
                <w:szCs w:val="22"/>
                <w:lang w:val="it-IT" w:eastAsia="it-IT" w:bidi="ar-SA"/>
              </w:rPr>
              <w:t>0,50</w:t>
            </w:r>
          </w:p>
        </w:tc>
      </w:tr>
      <w:tr>
        <w:trPr/>
        <w:tc>
          <w:tcPr>
            <w:tcW w:w="7941" w:type="dxa"/>
            <w:tcBorders/>
          </w:tcPr>
          <w:p>
            <w:pPr>
              <w:pStyle w:val="ListParagraph"/>
              <w:widowControl w:val="false"/>
              <w:numPr>
                <w:ilvl w:val="0"/>
                <w:numId w:val="15"/>
              </w:numPr>
              <w:suppressAutoHyphens w:val="false"/>
              <w:spacing w:before="0" w:after="0"/>
              <w:ind w:left="314" w:hanging="314"/>
              <w:contextualSpacing/>
              <w:jc w:val="left"/>
              <w:rPr>
                <w:rFonts w:ascii="Calibri" w:hAnsi="Calibri" w:cs="Calibri"/>
                <w:color w:val="000000"/>
                <w:lang w:val="it-IT"/>
              </w:rPr>
            </w:pPr>
            <w:r>
              <w:rPr>
                <w:rFonts w:eastAsia="Times New Roman" w:cs="Calibri" w:ascii="Calibri" w:hAnsi="Calibri"/>
                <w:color w:val="000000"/>
                <w:kern w:val="0"/>
                <w:lang w:val="it-IT" w:bidi="ar-SA"/>
              </w:rPr>
              <w:t>Target non raggiunto e/o documentazione non idonea a valutarne il raggiungimento. Dalla documentazione si evince tuttavia che sono state messe in atto azioni orientate al perseguimento dell’obiettivo, senza tuttavia ottenere risultati.</w:t>
            </w:r>
          </w:p>
        </w:tc>
        <w:tc>
          <w:tcPr>
            <w:tcW w:w="1696" w:type="dxa"/>
            <w:tcBorders/>
            <w:vAlign w:val="center"/>
          </w:tcPr>
          <w:p>
            <w:pPr>
              <w:pStyle w:val="Normal"/>
              <w:widowControl/>
              <w:suppressAutoHyphens w:val="true"/>
              <w:spacing w:before="0" w:after="0"/>
              <w:jc w:val="center"/>
              <w:rPr>
                <w:rFonts w:ascii="Calibri" w:hAnsi="Calibri" w:cs="Calibri"/>
                <w:b/>
                <w:b/>
                <w:color w:val="000000"/>
                <w:sz w:val="22"/>
                <w:szCs w:val="22"/>
              </w:rPr>
            </w:pPr>
            <w:r>
              <w:rPr>
                <w:rFonts w:eastAsia="Times New Roman" w:cs="Calibri" w:ascii="Calibri" w:hAnsi="Calibri"/>
                <w:b/>
                <w:color w:val="000000"/>
                <w:kern w:val="0"/>
                <w:sz w:val="22"/>
                <w:szCs w:val="22"/>
                <w:lang w:val="it-IT" w:eastAsia="it-IT" w:bidi="ar-SA"/>
              </w:rPr>
              <w:t>0,25</w:t>
            </w:r>
          </w:p>
        </w:tc>
      </w:tr>
      <w:tr>
        <w:trPr/>
        <w:tc>
          <w:tcPr>
            <w:tcW w:w="7941" w:type="dxa"/>
            <w:tcBorders/>
          </w:tcPr>
          <w:p>
            <w:pPr>
              <w:pStyle w:val="ListParagraph"/>
              <w:widowControl w:val="false"/>
              <w:numPr>
                <w:ilvl w:val="0"/>
                <w:numId w:val="15"/>
              </w:numPr>
              <w:suppressAutoHyphens w:val="false"/>
              <w:spacing w:before="0" w:after="0"/>
              <w:ind w:left="314" w:hanging="314"/>
              <w:contextualSpacing/>
              <w:jc w:val="left"/>
              <w:rPr>
                <w:rFonts w:ascii="Calibri" w:hAnsi="Calibri" w:cs="Calibri"/>
                <w:color w:val="000000"/>
                <w:lang w:val="it-IT"/>
              </w:rPr>
            </w:pPr>
            <w:r>
              <w:rPr>
                <w:rFonts w:eastAsia="Times New Roman" w:cs="Calibri" w:ascii="Calibri" w:hAnsi="Calibri"/>
                <w:color w:val="000000"/>
                <w:kern w:val="0"/>
                <w:lang w:val="it-IT" w:bidi="ar-SA"/>
              </w:rPr>
              <w:t>Documentazione mancate o non idonea alla valutazione e nessuna azione intrapresa nella direzione del raggiungimento del target.</w:t>
            </w:r>
          </w:p>
        </w:tc>
        <w:tc>
          <w:tcPr>
            <w:tcW w:w="1696" w:type="dxa"/>
            <w:tcBorders/>
            <w:vAlign w:val="center"/>
          </w:tcPr>
          <w:p>
            <w:pPr>
              <w:pStyle w:val="Normal"/>
              <w:widowControl/>
              <w:suppressAutoHyphens w:val="true"/>
              <w:spacing w:before="0" w:after="0"/>
              <w:jc w:val="center"/>
              <w:rPr>
                <w:rFonts w:ascii="Calibri" w:hAnsi="Calibri" w:cs="Calibri"/>
                <w:b/>
                <w:b/>
                <w:color w:val="000000"/>
                <w:sz w:val="22"/>
                <w:szCs w:val="22"/>
              </w:rPr>
            </w:pPr>
            <w:r>
              <w:rPr>
                <w:rFonts w:eastAsia="Times New Roman" w:cs="Calibri" w:ascii="Calibri" w:hAnsi="Calibri"/>
                <w:b/>
                <w:color w:val="000000"/>
                <w:kern w:val="0"/>
                <w:sz w:val="22"/>
                <w:szCs w:val="22"/>
                <w:lang w:val="it-IT" w:eastAsia="it-IT" w:bidi="ar-SA"/>
              </w:rPr>
              <w:t>0</w:t>
            </w:r>
          </w:p>
        </w:tc>
      </w:tr>
    </w:tbl>
    <w:p>
      <w:pPr>
        <w:pStyle w:val="Normal"/>
        <w:spacing w:lineRule="atLeast" w:line="320" w:before="0" w:after="120"/>
        <w:ind w:left="360" w:hanging="0"/>
        <w:jc w:val="both"/>
        <w:rPr>
          <w:rFonts w:ascii="Calibri" w:hAnsi="Calibri" w:cs="Calibri"/>
          <w:sz w:val="22"/>
          <w:szCs w:val="22"/>
        </w:rPr>
      </w:pPr>
      <w:r>
        <w:rPr>
          <w:rFonts w:cs="Calibri" w:ascii="Calibri" w:hAnsi="Calibri"/>
          <w:sz w:val="22"/>
          <w:szCs w:val="22"/>
        </w:rPr>
      </w:r>
    </w:p>
    <w:p>
      <w:pPr>
        <w:pStyle w:val="Normal"/>
        <w:spacing w:lineRule="atLeast" w:line="320" w:before="0" w:after="120"/>
        <w:jc w:val="both"/>
        <w:rPr>
          <w:rFonts w:ascii="Calibri" w:hAnsi="Calibri" w:cs="Calibri"/>
          <w:sz w:val="22"/>
          <w:szCs w:val="22"/>
        </w:rPr>
      </w:pPr>
      <w:r>
        <w:rPr>
          <w:rFonts w:cs="Calibri" w:ascii="Calibri" w:hAnsi="Calibri"/>
          <w:sz w:val="22"/>
          <w:szCs w:val="22"/>
        </w:rPr>
        <w:t>Il risultato finale della scheda B è dato dalla sommatoria dei singoli punteggi raggiunti per ogni specifico obiettivo, sia quantitativo che qualitativo/ documentale. Il valore massimo per ciascuna scheda è 100.</w:t>
      </w:r>
    </w:p>
    <w:p>
      <w:pPr>
        <w:pStyle w:val="Normal"/>
        <w:spacing w:lineRule="atLeast" w:line="320" w:before="0" w:after="120"/>
        <w:jc w:val="both"/>
        <w:rPr>
          <w:rFonts w:ascii="Calibri" w:hAnsi="Calibri" w:cs="Calibri"/>
          <w:sz w:val="22"/>
          <w:szCs w:val="22"/>
        </w:rPr>
      </w:pPr>
      <w:r>
        <w:rPr>
          <w:rFonts w:cs="Calibri" w:ascii="Calibri" w:hAnsi="Calibri"/>
          <w:sz w:val="22"/>
          <w:szCs w:val="22"/>
        </w:rPr>
        <w:t>Il sistema di pianificazione annuale dell’Azienda è stratificato rispetto a Zone Distretto, Dipartimenti, Aree e Strutture complesse e semplici: i Direttori di Dipartimento e Area non sottoscrivono una propria scheda e il personale assegnato direttamente alle Aree e Dipartimento è valutato con la media dei risultati delle strutture afferenti.</w:t>
      </w:r>
    </w:p>
    <w:p>
      <w:pPr>
        <w:pStyle w:val="Normal"/>
        <w:spacing w:lineRule="atLeast" w:line="320" w:before="0" w:after="120"/>
        <w:jc w:val="both"/>
        <w:rPr>
          <w:rFonts w:ascii="Calibri" w:hAnsi="Calibri" w:cs="Calibri"/>
          <w:sz w:val="22"/>
          <w:szCs w:val="22"/>
        </w:rPr>
      </w:pPr>
      <w:r>
        <w:rPr>
          <w:rFonts w:cs="Calibri" w:ascii="Calibri" w:hAnsi="Calibri"/>
          <w:sz w:val="22"/>
          <w:szCs w:val="22"/>
        </w:rPr>
        <w:t>In caso di vacanza del responsabile per una struttura, se non è stato individuato un responsabile ad interim o facente funzione che possa sottoscrivere e rendicontare la scheda, la valutazione è fatta con la media delle strutture afferenti ovvero, in assenza di strutture afferenti, attribuendo la valutazione della struttura sovraordinata, sia essa SOC, Area o Dipartimento.</w:t>
      </w:r>
    </w:p>
    <w:p>
      <w:pPr>
        <w:pStyle w:val="Titolo2"/>
        <w:spacing w:lineRule="atLeast" w:line="320" w:before="0" w:after="120"/>
        <w:jc w:val="both"/>
        <w:rPr>
          <w:rFonts w:ascii="Calibri" w:hAnsi="Calibri" w:cs="Calibri"/>
          <w:sz w:val="22"/>
          <w:szCs w:val="22"/>
        </w:rPr>
      </w:pPr>
      <w:bookmarkStart w:id="51" w:name="_Toc152228363"/>
      <w:bookmarkStart w:id="52" w:name="_Toc120874296"/>
      <w:r>
        <w:rPr>
          <w:rFonts w:cs="Calibri" w:ascii="Calibri" w:hAnsi="Calibri"/>
          <w:i w:val="false"/>
          <w:iCs w:val="false"/>
          <w:sz w:val="22"/>
          <w:szCs w:val="22"/>
        </w:rPr>
        <w:t>6.2 RISULTATI</w:t>
      </w:r>
      <w:bookmarkEnd w:id="51"/>
      <w:bookmarkEnd w:id="52"/>
    </w:p>
    <w:p>
      <w:pPr>
        <w:pStyle w:val="Normal"/>
        <w:spacing w:lineRule="atLeast" w:line="320" w:before="0" w:after="120"/>
        <w:jc w:val="both"/>
        <w:rPr>
          <w:rFonts w:ascii="Calibri" w:hAnsi="Calibri" w:cs="Calibri"/>
          <w:sz w:val="22"/>
          <w:szCs w:val="22"/>
        </w:rPr>
      </w:pPr>
      <w:r>
        <w:rPr>
          <w:rFonts w:cs="Calibri" w:ascii="Calibri" w:hAnsi="Calibri"/>
          <w:sz w:val="22"/>
          <w:szCs w:val="22"/>
        </w:rPr>
        <w:t>Nel 2022 sono stati assegnati alle varie strutture aziendali 513 indicatori di cui il 356 (69%) qualitativi e 157 (31%) quantitativi: i valori sono in linea con quelli dell’anno precedente. Il numero medio di indicatori assegnati per struttura, a livello aziendale è di 5,2, il dettaglio per Dipartimento è indicato nella tabella 34. Sui 513 indicatori assegnati, la valutazione è stata effettuata su 506 indicatori in quanto 7 sono stati stralciati a livello aziendale perché in corso di anno sono mutate le condizioni per cui erano stati assegnati oppure i dati necessari alla loro misura non sono stati messi a disposizione. Per 32 indicatori è la valutazione è stata effettuata solo in alcune strutture (stralcio selettivo) in quanto dagli approfondimenti effettuati nel corso dell’anno si sono ritenuti non pertinenti o non applicabili a singole strutture.</w:t>
      </w:r>
    </w:p>
    <w:p>
      <w:pPr>
        <w:pStyle w:val="Normal"/>
        <w:spacing w:lineRule="atLeast" w:line="320" w:before="0" w:after="120"/>
        <w:jc w:val="both"/>
        <w:rPr>
          <w:rFonts w:ascii="Calibri" w:hAnsi="Calibri" w:cs="Calibri"/>
          <w:sz w:val="22"/>
          <w:szCs w:val="22"/>
        </w:rPr>
      </w:pPr>
      <w:r>
        <w:rPr>
          <w:rFonts w:cs="Calibri" w:ascii="Calibri" w:hAnsi="Calibri"/>
          <w:sz w:val="22"/>
          <w:szCs w:val="22"/>
        </w:rPr>
      </w:r>
    </w:p>
    <w:p>
      <w:pPr>
        <w:pStyle w:val="Normal"/>
        <w:spacing w:lineRule="atLeast" w:line="320" w:before="0" w:after="120"/>
        <w:jc w:val="both"/>
        <w:rPr>
          <w:rFonts w:ascii="Calibri" w:hAnsi="Calibri" w:cs="Calibri"/>
          <w:sz w:val="22"/>
          <w:szCs w:val="22"/>
        </w:rPr>
      </w:pPr>
      <w:r>
        <w:rPr>
          <w:rFonts w:cs="Calibri" w:ascii="Calibri" w:hAnsi="Calibri"/>
          <w:sz w:val="22"/>
          <w:szCs w:val="22"/>
        </w:rPr>
      </w:r>
    </w:p>
    <w:p>
      <w:pPr>
        <w:pStyle w:val="Normal"/>
        <w:spacing w:lineRule="atLeast" w:line="320" w:before="0" w:after="120"/>
        <w:jc w:val="both"/>
        <w:rPr>
          <w:rFonts w:ascii="Calibri" w:hAnsi="Calibri" w:cs="Calibri"/>
          <w:sz w:val="22"/>
          <w:szCs w:val="22"/>
        </w:rPr>
      </w:pPr>
      <w:r>
        <w:rPr>
          <w:rFonts w:cs="Calibri" w:ascii="Calibri" w:hAnsi="Calibri"/>
          <w:sz w:val="22"/>
          <w:szCs w:val="22"/>
        </w:rPr>
      </w:r>
    </w:p>
    <w:p>
      <w:pPr>
        <w:pStyle w:val="Normal"/>
        <w:spacing w:lineRule="atLeast" w:line="320" w:before="0" w:after="120"/>
        <w:jc w:val="both"/>
        <w:rPr>
          <w:rFonts w:ascii="Calibri" w:hAnsi="Calibri" w:cs="Calibri"/>
          <w:b/>
          <w:b/>
          <w:sz w:val="22"/>
          <w:szCs w:val="22"/>
        </w:rPr>
      </w:pPr>
      <w:r>
        <w:rPr>
          <w:rFonts w:cs="Calibri" w:ascii="Calibri" w:hAnsi="Calibri"/>
          <w:b/>
          <w:sz w:val="22"/>
          <w:szCs w:val="22"/>
        </w:rPr>
        <w:t>Tabella 34 Numero medio di indicatori per Dipartimento</w:t>
      </w:r>
    </w:p>
    <w:tbl>
      <w:tblPr>
        <w:tblStyle w:val="Tabellagriglia4-colore51"/>
        <w:tblW w:w="87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640"/>
        <w:gridCol w:w="2119"/>
      </w:tblGrid>
      <w:tr>
        <w:trPr>
          <w:trHeight w:val="636" w:hRule="atLeast"/>
        </w:trPr>
        <w:tc>
          <w:tcPr>
            <w:tcW w:w="6640" w:type="dxa"/>
            <w:tcBorders/>
            <w:vAlign w:val="center"/>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w:t>
            </w:r>
          </w:p>
        </w:tc>
        <w:tc>
          <w:tcPr>
            <w:tcW w:w="2119" w:type="dxa"/>
            <w:tcBorders/>
            <w:vAlign w:val="center"/>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Numero medio</w:t>
            </w:r>
          </w:p>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 xml:space="preserve"> </w:t>
            </w:r>
            <w:r>
              <w:rPr>
                <w:rFonts w:eastAsia="Times New Roman" w:cs="Calibri" w:ascii="Calibri" w:hAnsi="Calibri"/>
                <w:b/>
                <w:bCs/>
                <w:color w:val="000000"/>
                <w:kern w:val="0"/>
                <w:sz w:val="22"/>
                <w:szCs w:val="22"/>
                <w:lang w:val="it-IT" w:eastAsia="en-US" w:bidi="ar-SA"/>
              </w:rPr>
              <w:t>di indicatori</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Amministrazione, pianificazione e controllo di gestione</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2,3</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Area Tecnica</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3,1</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Assistenza infermieristica e ostetrica</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4,5</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del Decentramento</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2,3</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del Farmaco</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6,2</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della Prevenzione</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3,9</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delle Professioni Tecnico Sanitarie</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3,5</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delle Specialistiche chirurgiche</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9,7</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delle Specialistiche mediche</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4,4</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di Medicina Fisica e Riabilitazione</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5,0</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di Medicina Generale</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6,0</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Diagnostica per Immagini</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8,0</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Emergenza e area critica</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5,7</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Materno Infantile</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5,9</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Medicina di Laboratorio</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3,5</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Oncologico</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4,8</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Rete Sanitaria Territoriale</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5,2</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Risorse Umane</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3,0</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Salute Mentale e Dipendenze</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5,3</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Servizio Sociale</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3,8</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Direzioni di Zona/SdS</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12,0</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Rete Ospedaliera</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4,7</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Staff della Direzione Generale</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3,3</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Staff della Direzione Sanitaria</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3,3</w:t>
            </w:r>
          </w:p>
        </w:tc>
      </w:tr>
      <w:tr>
        <w:trPr>
          <w:trHeight w:val="286" w:hRule="atLeast"/>
        </w:trPr>
        <w:tc>
          <w:tcPr>
            <w:tcW w:w="6640"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Strutture afferenti ai Direttori della Direzione Strategica</w:t>
            </w:r>
          </w:p>
        </w:tc>
        <w:tc>
          <w:tcPr>
            <w:tcW w:w="2119"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3,2</w:t>
            </w:r>
          </w:p>
        </w:tc>
      </w:tr>
      <w:tr>
        <w:trPr>
          <w:trHeight w:val="286" w:hRule="atLeast"/>
        </w:trPr>
        <w:tc>
          <w:tcPr>
            <w:tcW w:w="6640"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Valore Aziendale</w:t>
            </w:r>
          </w:p>
        </w:tc>
        <w:tc>
          <w:tcPr>
            <w:tcW w:w="2119" w:type="dxa"/>
            <w:tcBorders/>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5,2</w:t>
            </w:r>
          </w:p>
        </w:tc>
      </w:tr>
    </w:tbl>
    <w:p>
      <w:pPr>
        <w:pStyle w:val="Normal"/>
        <w:spacing w:lineRule="atLeast" w:line="320" w:before="0" w:after="120"/>
        <w:jc w:val="both"/>
        <w:rPr>
          <w:rFonts w:ascii="Calibri" w:hAnsi="Calibri" w:cs="Calibri"/>
          <w:sz w:val="22"/>
          <w:szCs w:val="22"/>
        </w:rPr>
      </w:pPr>
      <w:r>
        <w:rPr>
          <w:rFonts w:cs="Calibri" w:ascii="Calibri" w:hAnsi="Calibri"/>
          <w:sz w:val="22"/>
          <w:szCs w:val="22"/>
        </w:rPr>
      </w:r>
    </w:p>
    <w:p>
      <w:pPr>
        <w:pStyle w:val="Normal"/>
        <w:spacing w:lineRule="atLeast" w:line="320" w:before="0" w:after="120"/>
        <w:jc w:val="both"/>
        <w:rPr>
          <w:rFonts w:ascii="Calibri" w:hAnsi="Calibri" w:cs="Calibri"/>
          <w:sz w:val="22"/>
          <w:szCs w:val="22"/>
        </w:rPr>
      </w:pPr>
      <w:r>
        <w:rPr>
          <w:rFonts w:cs="Calibri" w:ascii="Calibri" w:hAnsi="Calibri"/>
          <w:sz w:val="22"/>
          <w:szCs w:val="22"/>
        </w:rPr>
        <w:t>La performance aziendale del 2022 è stata complessivamente molto buona</w:t>
      </w:r>
    </w:p>
    <w:p>
      <w:pPr>
        <w:pStyle w:val="Normal"/>
        <w:spacing w:lineRule="atLeast" w:line="320" w:before="0" w:after="120"/>
        <w:jc w:val="both"/>
        <w:rPr>
          <w:rFonts w:ascii="Calibri" w:hAnsi="Calibri" w:cs="Calibri"/>
          <w:sz w:val="22"/>
          <w:szCs w:val="22"/>
        </w:rPr>
      </w:pPr>
      <w:r>
        <w:rPr>
          <w:rFonts w:cs="Calibri" w:ascii="Calibri" w:hAnsi="Calibri"/>
          <w:sz w:val="22"/>
          <w:szCs w:val="22"/>
        </w:rPr>
        <w:t>La distribuzione dei risultati per le 575 strutture valutare è indicata in tabella 35</w:t>
      </w:r>
    </w:p>
    <w:p>
      <w:pPr>
        <w:pStyle w:val="Normal"/>
        <w:spacing w:lineRule="atLeast" w:line="320" w:before="0" w:after="120"/>
        <w:jc w:val="both"/>
        <w:rPr>
          <w:rFonts w:ascii="Calibri" w:hAnsi="Calibri" w:cs="Calibri"/>
          <w:b/>
          <w:b/>
          <w:sz w:val="22"/>
          <w:szCs w:val="22"/>
        </w:rPr>
      </w:pPr>
      <w:r>
        <w:rPr>
          <w:rFonts w:cs="Calibri" w:ascii="Calibri" w:hAnsi="Calibri"/>
          <w:b/>
          <w:sz w:val="22"/>
          <w:szCs w:val="22"/>
        </w:rPr>
        <w:t>Tabella 35 Distribuzione dei risultati per le strutture valutate</w:t>
      </w:r>
    </w:p>
    <w:tbl>
      <w:tblPr>
        <w:tblStyle w:val="Tabellagriglia4-colore51"/>
        <w:tblW w:w="368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122"/>
        <w:gridCol w:w="1558"/>
      </w:tblGrid>
      <w:tr>
        <w:trPr>
          <w:trHeight w:val="286" w:hRule="atLeast"/>
        </w:trPr>
        <w:tc>
          <w:tcPr>
            <w:tcW w:w="2122" w:type="dxa"/>
            <w:tcBorders/>
          </w:tcPr>
          <w:p>
            <w:pPr>
              <w:pStyle w:val="Normal"/>
              <w:widowControl/>
              <w:suppressAutoHyphens w:val="false"/>
              <w:spacing w:before="0" w:after="0"/>
              <w:jc w:val="right"/>
              <w:rPr>
                <w:rFonts w:ascii="Calibri" w:hAnsi="Calibri" w:cs="Calibri" w:asciiTheme="minorHAnsi" w:cstheme="minorHAnsi" w:hAnsiTheme="minorHAnsi"/>
                <w:b/>
                <w:b/>
                <w:bCs/>
                <w:color w:val="000000"/>
                <w:sz w:val="22"/>
                <w:szCs w:val="22"/>
              </w:rPr>
            </w:pPr>
            <w:r>
              <w:rPr>
                <w:rFonts w:eastAsia="Times New Roman" w:cs="Calibri" w:ascii="Calibri" w:hAnsi="Calibri" w:asciiTheme="minorHAnsi" w:cstheme="minorHAnsi" w:hAnsiTheme="minorHAnsi"/>
                <w:b/>
                <w:bCs/>
                <w:color w:val="000000"/>
                <w:kern w:val="0"/>
                <w:sz w:val="22"/>
                <w:szCs w:val="22"/>
                <w:lang w:val="it-IT" w:eastAsia="en-US" w:bidi="ar-SA"/>
              </w:rPr>
              <w:t>Fascia punteggio</w:t>
            </w:r>
          </w:p>
        </w:tc>
        <w:tc>
          <w:tcPr>
            <w:tcW w:w="1558" w:type="dxa"/>
            <w:tcBorders/>
          </w:tcPr>
          <w:p>
            <w:pPr>
              <w:pStyle w:val="Normal"/>
              <w:widowControl/>
              <w:suppressAutoHyphens w:val="false"/>
              <w:spacing w:before="0" w:after="0"/>
              <w:jc w:val="right"/>
              <w:rPr>
                <w:rFonts w:ascii="Calibri" w:hAnsi="Calibri" w:cs="Calibri" w:asciiTheme="minorHAnsi" w:cstheme="minorHAnsi" w:hAnsiTheme="minorHAnsi"/>
                <w:b/>
                <w:b/>
                <w:bCs/>
                <w:color w:val="000000"/>
                <w:sz w:val="22"/>
                <w:szCs w:val="22"/>
              </w:rPr>
            </w:pPr>
            <w:r>
              <w:rPr>
                <w:rFonts w:eastAsia="Times New Roman" w:cs="Calibri" w:ascii="Calibri" w:hAnsi="Calibri" w:asciiTheme="minorHAnsi" w:cstheme="minorHAnsi" w:hAnsiTheme="minorHAnsi"/>
                <w:b/>
                <w:bCs/>
                <w:color w:val="000000"/>
                <w:kern w:val="0"/>
                <w:sz w:val="22"/>
                <w:szCs w:val="22"/>
                <w:lang w:val="it-IT" w:eastAsia="en-US" w:bidi="ar-SA"/>
              </w:rPr>
              <w:t>n. strutture</w:t>
            </w:r>
          </w:p>
        </w:tc>
      </w:tr>
      <w:tr>
        <w:trPr>
          <w:trHeight w:val="286" w:hRule="atLeast"/>
        </w:trPr>
        <w:tc>
          <w:tcPr>
            <w:tcW w:w="2122" w:type="dxa"/>
            <w:tcBorders/>
          </w:tcPr>
          <w:p>
            <w:pPr>
              <w:pStyle w:val="Normal"/>
              <w:widowControl/>
              <w:suppressAutoHyphens w:val="false"/>
              <w:spacing w:before="0" w:after="0"/>
              <w:jc w:val="right"/>
              <w:rPr>
                <w:rFonts w:ascii="Calibri" w:hAnsi="Calibri" w:cs="Calibri"/>
                <w:color w:val="000000"/>
                <w:sz w:val="22"/>
                <w:szCs w:val="22"/>
              </w:rPr>
            </w:pPr>
            <w:r>
              <w:rPr>
                <w:rFonts w:eastAsia="Times New Roman" w:cs="Calibri" w:ascii="Calibri" w:hAnsi="Calibri"/>
                <w:color w:val="000000"/>
                <w:kern w:val="0"/>
                <w:sz w:val="22"/>
                <w:szCs w:val="22"/>
                <w:lang w:val="it-IT" w:eastAsia="en-US" w:bidi="ar-SA"/>
              </w:rPr>
              <w:t>da 90,0 a 91,9</w:t>
            </w:r>
          </w:p>
        </w:tc>
        <w:tc>
          <w:tcPr>
            <w:tcW w:w="1558" w:type="dxa"/>
            <w:tcBorders/>
          </w:tcPr>
          <w:p>
            <w:pPr>
              <w:pStyle w:val="Normal"/>
              <w:widowControl/>
              <w:suppressAutoHyphens w:val="false"/>
              <w:spacing w:before="0" w:after="0"/>
              <w:jc w:val="right"/>
              <w:rPr>
                <w:rFonts w:ascii="Calibri" w:hAnsi="Calibri" w:cs="Calibri"/>
                <w:color w:val="000000"/>
                <w:sz w:val="22"/>
                <w:szCs w:val="22"/>
              </w:rPr>
            </w:pPr>
            <w:r>
              <w:rPr>
                <w:rFonts w:eastAsia="Times New Roman" w:cs="Calibri" w:ascii="Calibri" w:hAnsi="Calibri"/>
                <w:color w:val="000000"/>
                <w:kern w:val="0"/>
                <w:sz w:val="22"/>
                <w:szCs w:val="22"/>
                <w:lang w:val="it-IT" w:eastAsia="en-US" w:bidi="ar-SA"/>
              </w:rPr>
              <w:t>9</w:t>
            </w:r>
          </w:p>
        </w:tc>
      </w:tr>
      <w:tr>
        <w:trPr>
          <w:trHeight w:val="286" w:hRule="atLeast"/>
        </w:trPr>
        <w:tc>
          <w:tcPr>
            <w:tcW w:w="212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da 92,0 a 93,9</w:t>
            </w:r>
          </w:p>
        </w:tc>
        <w:tc>
          <w:tcPr>
            <w:tcW w:w="1558"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17</w:t>
            </w:r>
          </w:p>
        </w:tc>
      </w:tr>
      <w:tr>
        <w:trPr>
          <w:trHeight w:val="286" w:hRule="atLeast"/>
        </w:trPr>
        <w:tc>
          <w:tcPr>
            <w:tcW w:w="212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da 94,0 a 95,9</w:t>
            </w:r>
          </w:p>
        </w:tc>
        <w:tc>
          <w:tcPr>
            <w:tcW w:w="1558"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23</w:t>
            </w:r>
          </w:p>
        </w:tc>
      </w:tr>
      <w:tr>
        <w:trPr>
          <w:trHeight w:val="286" w:hRule="atLeast"/>
        </w:trPr>
        <w:tc>
          <w:tcPr>
            <w:tcW w:w="212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da 96,0 a 97,9</w:t>
            </w:r>
          </w:p>
        </w:tc>
        <w:tc>
          <w:tcPr>
            <w:tcW w:w="1558"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94</w:t>
            </w:r>
          </w:p>
        </w:tc>
      </w:tr>
      <w:tr>
        <w:trPr>
          <w:trHeight w:val="286" w:hRule="atLeast"/>
        </w:trPr>
        <w:tc>
          <w:tcPr>
            <w:tcW w:w="212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da 98 a 99,9</w:t>
            </w:r>
          </w:p>
        </w:tc>
        <w:tc>
          <w:tcPr>
            <w:tcW w:w="1558"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75</w:t>
            </w:r>
          </w:p>
        </w:tc>
      </w:tr>
      <w:tr>
        <w:trPr>
          <w:trHeight w:val="286" w:hRule="atLeast"/>
        </w:trPr>
        <w:tc>
          <w:tcPr>
            <w:tcW w:w="212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w:t>
            </w:r>
          </w:p>
        </w:tc>
        <w:tc>
          <w:tcPr>
            <w:tcW w:w="1558"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357</w:t>
            </w:r>
          </w:p>
        </w:tc>
      </w:tr>
      <w:tr>
        <w:trPr>
          <w:trHeight w:val="286" w:hRule="atLeast"/>
        </w:trPr>
        <w:tc>
          <w:tcPr>
            <w:tcW w:w="2122"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Totale strutture</w:t>
            </w:r>
          </w:p>
        </w:tc>
        <w:tc>
          <w:tcPr>
            <w:tcW w:w="1558"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575</w:t>
            </w:r>
          </w:p>
        </w:tc>
      </w:tr>
    </w:tbl>
    <w:p>
      <w:pPr>
        <w:pStyle w:val="Normal"/>
        <w:spacing w:lineRule="atLeast" w:line="320" w:before="0" w:after="120"/>
        <w:jc w:val="both"/>
        <w:rPr>
          <w:rFonts w:ascii="Calibri" w:hAnsi="Calibri" w:cs="Calibri"/>
          <w:sz w:val="22"/>
          <w:szCs w:val="22"/>
        </w:rPr>
      </w:pPr>
      <w:r>
        <w:rPr>
          <w:rFonts w:cs="Calibri" w:ascii="Calibri" w:hAnsi="Calibri"/>
          <w:sz w:val="22"/>
          <w:szCs w:val="22"/>
        </w:rPr>
      </w:r>
    </w:p>
    <w:p>
      <w:pPr>
        <w:pStyle w:val="Normal"/>
        <w:spacing w:lineRule="atLeast" w:line="320" w:before="0" w:after="120"/>
        <w:jc w:val="both"/>
        <w:rPr>
          <w:rFonts w:ascii="Calibri" w:hAnsi="Calibri" w:cs="Calibri"/>
          <w:sz w:val="22"/>
          <w:szCs w:val="22"/>
        </w:rPr>
      </w:pPr>
      <w:r>
        <w:rPr>
          <w:rFonts w:cs="Calibri" w:ascii="Calibri" w:hAnsi="Calibri"/>
          <w:sz w:val="22"/>
          <w:szCs w:val="22"/>
        </w:rPr>
      </w:r>
    </w:p>
    <w:p>
      <w:pPr>
        <w:pStyle w:val="Normal"/>
        <w:spacing w:lineRule="atLeast" w:line="320" w:before="0" w:after="120"/>
        <w:jc w:val="both"/>
        <w:rPr>
          <w:rFonts w:ascii="Calibri" w:hAnsi="Calibri" w:cs="Calibri"/>
          <w:sz w:val="22"/>
          <w:szCs w:val="22"/>
        </w:rPr>
      </w:pPr>
      <w:r>
        <w:rPr>
          <w:rFonts w:cs="Calibri" w:ascii="Calibri" w:hAnsi="Calibri"/>
          <w:sz w:val="22"/>
          <w:szCs w:val="22"/>
        </w:rPr>
      </w:r>
    </w:p>
    <w:p>
      <w:pPr>
        <w:pStyle w:val="Normal"/>
        <w:spacing w:lineRule="atLeast" w:line="320" w:before="0" w:after="120"/>
        <w:jc w:val="both"/>
        <w:rPr>
          <w:rFonts w:ascii="Calibri" w:hAnsi="Calibri" w:cs="Calibri"/>
          <w:sz w:val="22"/>
          <w:szCs w:val="22"/>
        </w:rPr>
      </w:pPr>
      <w:r>
        <w:rPr>
          <w:rFonts w:cs="Calibri" w:ascii="Calibri" w:hAnsi="Calibri"/>
          <w:sz w:val="22"/>
          <w:szCs w:val="22"/>
        </w:rPr>
      </w:r>
    </w:p>
    <w:p>
      <w:pPr>
        <w:pStyle w:val="Normal"/>
        <w:spacing w:lineRule="atLeast" w:line="320" w:before="0" w:after="120"/>
        <w:jc w:val="both"/>
        <w:rPr>
          <w:rFonts w:ascii="Calibri" w:hAnsi="Calibri" w:cs="Calibri"/>
          <w:b/>
          <w:b/>
          <w:sz w:val="22"/>
          <w:szCs w:val="22"/>
        </w:rPr>
      </w:pPr>
      <w:r>
        <w:rPr>
          <w:rFonts w:cs="Calibri" w:ascii="Calibri" w:hAnsi="Calibri"/>
          <w:b/>
          <w:sz w:val="22"/>
          <w:szCs w:val="22"/>
        </w:rPr>
        <w:t>Figura 32. Distribuzione dei risultati della valutazione a livello aziendale.</w:t>
      </w:r>
    </w:p>
    <w:p>
      <w:pPr>
        <w:pStyle w:val="Normal"/>
        <w:spacing w:lineRule="atLeast" w:line="320" w:before="0" w:after="120"/>
        <w:jc w:val="both"/>
        <w:rPr>
          <w:rFonts w:ascii="Calibri" w:hAnsi="Calibri" w:cs="Calibri"/>
          <w:b/>
          <w:b/>
          <w:sz w:val="22"/>
          <w:szCs w:val="22"/>
        </w:rPr>
      </w:pPr>
      <w:r>
        <w:rPr/>
        <w:drawing>
          <wp:inline distT="0" distB="0" distL="0" distR="0">
            <wp:extent cx="4572000" cy="2771775"/>
            <wp:effectExtent l="0" t="0" r="0" b="0"/>
            <wp:docPr id="5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Normal"/>
        <w:spacing w:lineRule="atLeast" w:line="320" w:before="0" w:after="120"/>
        <w:jc w:val="both"/>
        <w:rPr>
          <w:rFonts w:ascii="Calibri" w:hAnsi="Calibri" w:cs="Calibri"/>
          <w:b/>
          <w:b/>
          <w:sz w:val="22"/>
          <w:szCs w:val="22"/>
        </w:rPr>
      </w:pPr>
      <w:r>
        <w:rPr>
          <w:rFonts w:cs="Calibri" w:ascii="Calibri" w:hAnsi="Calibri"/>
          <w:b/>
          <w:sz w:val="22"/>
          <w:szCs w:val="22"/>
        </w:rPr>
      </w:r>
    </w:p>
    <w:p>
      <w:pPr>
        <w:pStyle w:val="Normal"/>
        <w:spacing w:lineRule="atLeast" w:line="320" w:before="0" w:after="120"/>
        <w:jc w:val="both"/>
        <w:rPr>
          <w:rFonts w:ascii="Calibri" w:hAnsi="Calibri" w:cs="Calibri"/>
          <w:b/>
          <w:b/>
          <w:sz w:val="22"/>
          <w:szCs w:val="22"/>
        </w:rPr>
      </w:pPr>
      <w:r>
        <w:rPr>
          <w:rFonts w:cs="Calibri" w:ascii="Calibri" w:hAnsi="Calibri"/>
          <w:b/>
          <w:sz w:val="22"/>
          <w:szCs w:val="22"/>
        </w:rPr>
      </w:r>
    </w:p>
    <w:p>
      <w:pPr>
        <w:pStyle w:val="Normal"/>
        <w:spacing w:lineRule="atLeast" w:line="320" w:before="0" w:after="120"/>
        <w:jc w:val="center"/>
        <w:rPr>
          <w:rFonts w:ascii="Calibri" w:hAnsi="Calibri" w:cs="Calibri"/>
          <w:sz w:val="22"/>
          <w:szCs w:val="22"/>
        </w:rPr>
      </w:pPr>
      <w:r>
        <w:rPr/>
        <w:drawing>
          <wp:inline distT="0" distB="0" distL="0" distR="0">
            <wp:extent cx="4448175" cy="5057775"/>
            <wp:effectExtent l="0" t="0" r="0" b="0"/>
            <wp:docPr id="5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Normal"/>
        <w:spacing w:lineRule="atLeast" w:line="320" w:before="0" w:after="120"/>
        <w:jc w:val="both"/>
        <w:rPr>
          <w:rFonts w:ascii="Calibri" w:hAnsi="Calibri" w:cs="Calibri"/>
          <w:sz w:val="22"/>
          <w:szCs w:val="22"/>
        </w:rPr>
      </w:pPr>
      <w:r>
        <w:rPr>
          <w:rFonts w:cs="Calibri" w:ascii="Calibri" w:hAnsi="Calibri"/>
          <w:sz w:val="22"/>
          <w:szCs w:val="22"/>
        </w:rPr>
        <w:t>Le tabelle 36 e 37 nelle pagine seguenti rappresentano il dettaglio dei risultati per Dipartimento e per Area</w:t>
      </w:r>
    </w:p>
    <w:p>
      <w:pPr>
        <w:pStyle w:val="Normal"/>
        <w:spacing w:lineRule="atLeast" w:line="320" w:before="0" w:after="120"/>
        <w:jc w:val="both"/>
        <w:rPr>
          <w:rFonts w:ascii="Calibri" w:hAnsi="Calibri" w:cs="Calibri"/>
          <w:b/>
          <w:b/>
          <w:sz w:val="22"/>
          <w:szCs w:val="22"/>
        </w:rPr>
      </w:pPr>
      <w:r>
        <w:rPr>
          <w:rFonts w:cs="Calibri" w:ascii="Calibri" w:hAnsi="Calibri"/>
          <w:b/>
          <w:sz w:val="22"/>
          <w:szCs w:val="22"/>
        </w:rPr>
        <w:t>Tabella 36 Dettaglio dei risultati per Dipartimento</w:t>
      </w:r>
    </w:p>
    <w:p>
      <w:pPr>
        <w:pStyle w:val="Normal"/>
        <w:suppressAutoHyphens w:val="false"/>
        <w:rPr>
          <w:rFonts w:ascii="Calibri" w:hAnsi="Calibri" w:cs="Calibri"/>
          <w:sz w:val="22"/>
          <w:szCs w:val="22"/>
        </w:rPr>
      </w:pPr>
      <w:r>
        <w:rPr>
          <w:rFonts w:cs="Calibri" w:ascii="Calibri" w:hAnsi="Calibri"/>
          <w:sz w:val="22"/>
          <w:szCs w:val="22"/>
        </w:rPr>
      </w:r>
    </w:p>
    <w:tbl>
      <w:tblPr>
        <w:tblStyle w:val="Tabellagriglia4-colore51"/>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6544"/>
        <w:gridCol w:w="941"/>
        <w:gridCol w:w="1192"/>
        <w:gridCol w:w="960"/>
      </w:tblGrid>
      <w:tr>
        <w:trPr>
          <w:trHeight w:val="625" w:hRule="atLeast"/>
        </w:trPr>
        <w:tc>
          <w:tcPr>
            <w:tcW w:w="6544" w:type="dxa"/>
            <w:tcBorders/>
          </w:tcPr>
          <w:p>
            <w:pPr>
              <w:pStyle w:val="Normal"/>
              <w:widowControl/>
              <w:suppressAutoHyphens w:val="false"/>
              <w:spacing w:before="0" w:after="0"/>
              <w:jc w:val="left"/>
              <w:rPr>
                <w:b/>
                <w:b/>
                <w:bCs/>
                <w:sz w:val="20"/>
                <w:szCs w:val="20"/>
              </w:rPr>
            </w:pPr>
            <w:r>
              <w:rPr>
                <w:rFonts w:eastAsia="Times New Roman" w:cs="Arial" w:ascii="Calibri" w:hAnsi="Calibri"/>
                <w:b/>
                <w:bCs/>
                <w:kern w:val="0"/>
                <w:sz w:val="20"/>
                <w:szCs w:val="20"/>
                <w:lang w:val="it-IT" w:eastAsia="en-US" w:bidi="ar-SA"/>
              </w:rPr>
              <w:t>Dipartimento</w:t>
            </w:r>
          </w:p>
        </w:tc>
        <w:tc>
          <w:tcPr>
            <w:tcW w:w="94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N. Strutture</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Media valutazione</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Dev. Standard</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Amministrazione, pianificazione e controllo di gestione</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11</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99,8</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0,6</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Area Tecnica</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13</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Assistenza infermieristica e ostetrica</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22</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99,6</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1,9</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del Decentramento</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11</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96,4</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4,0</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del Farmaco</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17</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della Prevenzione</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35</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99,0</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2,4</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delle Professioni Tecnico Sanitarie</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19</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delle Specialistiche chirurgiche</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63</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98,0</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2,1</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delle Specialistiche mediche</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103</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98,4</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2,0</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di Medicina Fisica e Riabilitazione</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6</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98,2</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1,5</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di Medicina Generale</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Diagnostica per Immagini</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18</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97,2</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0,7</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Emergenza e area critica</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32</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98,7</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1,6</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Materno Infantile</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20</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97,7</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2,4</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Medicina di Laboratorio</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24</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98,1</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1,5</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Oncologico</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26</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98,5</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1,9</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Rete Sanitaria Territoriale</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29</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96,8</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3,7</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Risorse Umane</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Salute Mentale e Dipendenze</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52</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Dipartimento Servizio Sociale</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4</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Direzioni di Zona/SdS</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8</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Rete Ospedaliera</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21</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97,6</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2,5</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Staff della Direzione Generale</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Staff della Direzione Sanitaria</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16</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99,8</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0,7</w:t>
            </w:r>
          </w:p>
        </w:tc>
      </w:tr>
      <w:tr>
        <w:trPr>
          <w:trHeight w:val="286" w:hRule="atLeast"/>
        </w:trPr>
        <w:tc>
          <w:tcPr>
            <w:tcW w:w="6544"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Strutture afferenti ai Direttori della Direzione Strategica</w:t>
            </w:r>
          </w:p>
        </w:tc>
        <w:tc>
          <w:tcPr>
            <w:tcW w:w="941"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11</w:t>
            </w:r>
          </w:p>
        </w:tc>
        <w:tc>
          <w:tcPr>
            <w:tcW w:w="1192"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99,6</w:t>
            </w:r>
          </w:p>
        </w:tc>
        <w:tc>
          <w:tcPr>
            <w:tcW w:w="960" w:type="dxa"/>
            <w:tcBorders/>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0,8</w:t>
            </w:r>
          </w:p>
        </w:tc>
      </w:tr>
      <w:tr>
        <w:trPr>
          <w:trHeight w:val="286" w:hRule="atLeast"/>
        </w:trPr>
        <w:tc>
          <w:tcPr>
            <w:tcW w:w="6544" w:type="dxa"/>
            <w:tcBorders/>
          </w:tcPr>
          <w:p>
            <w:pPr>
              <w:pStyle w:val="Normal"/>
              <w:widowControl/>
              <w:suppressAutoHyphens w:val="false"/>
              <w:spacing w:before="0" w:after="0"/>
              <w:jc w:val="left"/>
              <w:rPr>
                <w:rFonts w:cs="Calibri"/>
                <w:b/>
                <w:b/>
                <w:bCs/>
                <w:sz w:val="22"/>
                <w:szCs w:val="22"/>
              </w:rPr>
            </w:pPr>
            <w:r>
              <w:rPr>
                <w:rFonts w:eastAsia="Times New Roman" w:cs="Calibri" w:ascii="Calibri" w:hAnsi="Calibri"/>
                <w:b/>
                <w:bCs/>
                <w:kern w:val="0"/>
                <w:sz w:val="22"/>
                <w:szCs w:val="22"/>
                <w:lang w:val="it-IT" w:eastAsia="en-US" w:bidi="ar-SA"/>
              </w:rPr>
              <w:t>Azienda USL Toscana Centro</w:t>
            </w:r>
          </w:p>
        </w:tc>
        <w:tc>
          <w:tcPr>
            <w:tcW w:w="941" w:type="dxa"/>
            <w:tcBorders/>
          </w:tcPr>
          <w:p>
            <w:pPr>
              <w:pStyle w:val="Normal"/>
              <w:widowControl/>
              <w:suppressAutoHyphens w:val="false"/>
              <w:spacing w:before="0" w:after="0"/>
              <w:jc w:val="right"/>
              <w:rPr>
                <w:rFonts w:cs="Calibri"/>
                <w:b/>
                <w:b/>
                <w:bCs/>
                <w:sz w:val="22"/>
                <w:szCs w:val="22"/>
              </w:rPr>
            </w:pPr>
            <w:r>
              <w:rPr>
                <w:rFonts w:eastAsia="Times New Roman" w:cs="Calibri" w:ascii="Calibri" w:hAnsi="Calibri"/>
                <w:b/>
                <w:bCs/>
                <w:kern w:val="0"/>
                <w:sz w:val="22"/>
                <w:szCs w:val="22"/>
                <w:lang w:val="it-IT" w:eastAsia="en-US" w:bidi="ar-SA"/>
              </w:rPr>
              <w:t>575</w:t>
            </w:r>
          </w:p>
        </w:tc>
        <w:tc>
          <w:tcPr>
            <w:tcW w:w="1192" w:type="dxa"/>
            <w:tcBorders/>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98,7</w:t>
            </w:r>
          </w:p>
        </w:tc>
        <w:tc>
          <w:tcPr>
            <w:tcW w:w="960" w:type="dxa"/>
            <w:tcBorders/>
          </w:tcPr>
          <w:p>
            <w:pPr>
              <w:pStyle w:val="Normal"/>
              <w:widowControl/>
              <w:suppressAutoHyphens w:val="false"/>
              <w:spacing w:before="0" w:after="0"/>
              <w:jc w:val="right"/>
              <w:rPr>
                <w:rFonts w:cs="Calibri"/>
                <w:b/>
                <w:b/>
                <w:bCs/>
                <w:sz w:val="22"/>
                <w:szCs w:val="22"/>
              </w:rPr>
            </w:pPr>
            <w:r>
              <w:rPr>
                <w:rFonts w:eastAsia="Times New Roman" w:cs="Calibri" w:ascii="Calibri" w:hAnsi="Calibri"/>
                <w:b/>
                <w:bCs/>
                <w:kern w:val="0"/>
                <w:sz w:val="22"/>
                <w:szCs w:val="22"/>
                <w:lang w:val="it-IT" w:eastAsia="en-US" w:bidi="ar-SA"/>
              </w:rPr>
              <w:t>2,1</w:t>
            </w:r>
          </w:p>
        </w:tc>
      </w:tr>
    </w:tbl>
    <w:p>
      <w:pPr>
        <w:pStyle w:val="Normal"/>
        <w:suppressAutoHyphens w:val="false"/>
        <w:rPr>
          <w:rFonts w:ascii="Calibri" w:hAnsi="Calibri" w:cs="Calibri"/>
          <w:sz w:val="22"/>
          <w:szCs w:val="22"/>
        </w:rPr>
      </w:pPr>
      <w:r>
        <w:rPr>
          <w:rFonts w:cs="Calibri" w:ascii="Calibri" w:hAnsi="Calibri"/>
          <w:sz w:val="22"/>
          <w:szCs w:val="22"/>
        </w:rPr>
      </w:r>
    </w:p>
    <w:p>
      <w:pPr>
        <w:pStyle w:val="Normal"/>
        <w:suppressAutoHyphens w:val="false"/>
        <w:rPr>
          <w:rFonts w:ascii="Calibri" w:hAnsi="Calibri" w:cs="Calibri"/>
          <w:sz w:val="22"/>
          <w:szCs w:val="22"/>
        </w:rPr>
      </w:pPr>
      <w:r>
        <w:rPr>
          <w:rFonts w:cs="Calibri" w:ascii="Calibri" w:hAnsi="Calibri"/>
          <w:sz w:val="22"/>
          <w:szCs w:val="22"/>
        </w:rPr>
      </w:r>
    </w:p>
    <w:p>
      <w:pPr>
        <w:pStyle w:val="Normal"/>
        <w:suppressAutoHyphens w:val="false"/>
        <w:rPr>
          <w:rFonts w:ascii="Calibri" w:hAnsi="Calibri" w:cs="Calibri"/>
          <w:sz w:val="22"/>
          <w:szCs w:val="22"/>
        </w:rPr>
      </w:pPr>
      <w:r>
        <w:rPr>
          <w:rFonts w:cs="Calibri" w:ascii="Calibri" w:hAnsi="Calibri"/>
          <w:sz w:val="22"/>
          <w:szCs w:val="22"/>
        </w:rPr>
      </w:r>
    </w:p>
    <w:p>
      <w:pPr>
        <w:pStyle w:val="Normal"/>
        <w:spacing w:lineRule="atLeast" w:line="320" w:before="0" w:after="120"/>
        <w:rPr>
          <w:rFonts w:ascii="Calibri" w:hAnsi="Calibri" w:cs="Calibri"/>
          <w:b/>
          <w:b/>
          <w:bCs/>
          <w:kern w:val="2"/>
          <w:sz w:val="28"/>
          <w:szCs w:val="28"/>
        </w:rPr>
      </w:pPr>
      <w:r>
        <w:rPr>
          <w:rFonts w:cs="Calibri" w:ascii="Calibri" w:hAnsi="Calibri"/>
          <w:b/>
          <w:sz w:val="22"/>
          <w:szCs w:val="22"/>
        </w:rPr>
        <w:t>Figura 33. Risultati della valutazione per Dipartimento, valori medi delle strutture valutate.</w:t>
      </w:r>
    </w:p>
    <w:p>
      <w:pPr>
        <w:pStyle w:val="Normal"/>
        <w:suppressAutoHyphens w:val="false"/>
        <w:rPr>
          <w:rFonts w:ascii="Calibri" w:hAnsi="Calibri" w:cs="Calibri"/>
          <w:sz w:val="22"/>
          <w:szCs w:val="22"/>
        </w:rPr>
      </w:pPr>
      <w:r>
        <w:rPr>
          <w:rFonts w:cs="Calibri" w:ascii="Calibri" w:hAnsi="Calibri"/>
          <w:sz w:val="22"/>
          <w:szCs w:val="22"/>
        </w:rPr>
      </w:r>
    </w:p>
    <w:p>
      <w:pPr>
        <w:pStyle w:val="Normal"/>
        <w:suppressAutoHyphens w:val="false"/>
        <w:rPr>
          <w:rFonts w:ascii="Calibri" w:hAnsi="Calibri" w:cs="Calibri"/>
          <w:sz w:val="22"/>
          <w:szCs w:val="22"/>
        </w:rPr>
      </w:pPr>
      <w:r>
        <w:rPr/>
        <w:drawing>
          <wp:inline distT="0" distB="0" distL="0" distR="0">
            <wp:extent cx="6019800" cy="5248275"/>
            <wp:effectExtent l="0" t="0" r="0" b="0"/>
            <wp:docPr id="5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Normal"/>
        <w:suppressAutoHyphens w:val="false"/>
        <w:rPr>
          <w:rFonts w:ascii="Calibri" w:hAnsi="Calibri" w:cs="Calibri"/>
          <w:sz w:val="22"/>
          <w:szCs w:val="22"/>
        </w:rPr>
      </w:pPr>
      <w:r>
        <w:rPr>
          <w:rFonts w:cs="Calibri" w:ascii="Calibri" w:hAnsi="Calibri"/>
          <w:sz w:val="22"/>
          <w:szCs w:val="22"/>
        </w:rPr>
      </w:r>
      <w:r>
        <w:br w:type="page"/>
      </w:r>
    </w:p>
    <w:tbl>
      <w:tblPr>
        <w:tblStyle w:val="Tabellagriglia4-colore51"/>
        <w:tblW w:w="92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581"/>
        <w:gridCol w:w="1217"/>
        <w:gridCol w:w="1223"/>
        <w:gridCol w:w="1238"/>
      </w:tblGrid>
      <w:tr>
        <w:trPr>
          <w:tblHeader w:val="true"/>
          <w:trHeight w:val="416" w:hRule="atLeast"/>
          <w:cantSplit w:val="true"/>
        </w:trPr>
        <w:tc>
          <w:tcPr>
            <w:tcW w:w="5581" w:type="dxa"/>
            <w:tcBorders>
              <w:top w:val="nil"/>
              <w:left w:val="nil"/>
              <w:bottom w:val="single" w:sz="4" w:space="0" w:color="000000"/>
              <w:right w:val="nil"/>
            </w:tcBorders>
          </w:tcPr>
          <w:p>
            <w:pPr>
              <w:pStyle w:val="Normal"/>
              <w:pageBreakBefore/>
              <w:widowControl/>
              <w:suppressAutoHyphens w:val="false"/>
              <w:spacing w:before="0" w:after="0"/>
              <w:jc w:val="left"/>
              <w:rPr>
                <w:rFonts w:ascii="Calibri" w:hAnsi="Calibri"/>
                <w:b/>
                <w:b/>
                <w:bCs/>
                <w:sz w:val="20"/>
                <w:szCs w:val="20"/>
              </w:rPr>
            </w:pPr>
            <w:r>
              <w:rPr>
                <w:rFonts w:eastAsia="Times New Roman" w:cs="Calibri" w:ascii="Calibri" w:hAnsi="Calibri"/>
                <w:b/>
                <w:kern w:val="0"/>
                <w:sz w:val="22"/>
                <w:szCs w:val="22"/>
                <w:lang w:val="it-IT" w:eastAsia="en-US" w:bidi="ar-SA"/>
              </w:rPr>
              <w:t>Tabella 37 Dettaglio dei risultati per Area</w:t>
            </w:r>
          </w:p>
        </w:tc>
        <w:tc>
          <w:tcPr>
            <w:tcW w:w="1217" w:type="dxa"/>
            <w:tcBorders>
              <w:top w:val="nil"/>
              <w:left w:val="nil"/>
              <w:bottom w:val="single" w:sz="4" w:space="0" w:color="000000"/>
              <w:right w:val="nil"/>
            </w:tcBorders>
          </w:tcPr>
          <w:p>
            <w:pPr>
              <w:pStyle w:val="Normal"/>
              <w:widowControl/>
              <w:suppressAutoHyphens w:val="false"/>
              <w:spacing w:before="0" w:after="0"/>
              <w:jc w:val="right"/>
              <w:rPr>
                <w:rFonts w:ascii="Calibri" w:hAnsi="Calibri" w:cs="Calibri"/>
                <w:color w:val="000000"/>
                <w:sz w:val="22"/>
                <w:szCs w:val="22"/>
              </w:rPr>
            </w:pPr>
            <w:r>
              <w:rPr>
                <w:rFonts w:eastAsia="Times New Roman" w:cs="Calibri" w:ascii="Calibri" w:hAnsi="Calibri"/>
                <w:color w:val="000000"/>
                <w:kern w:val="0"/>
                <w:sz w:val="22"/>
                <w:szCs w:val="22"/>
                <w:lang w:val="it-IT" w:eastAsia="en-US" w:bidi="ar-SA"/>
              </w:rPr>
            </w:r>
          </w:p>
        </w:tc>
        <w:tc>
          <w:tcPr>
            <w:tcW w:w="1223" w:type="dxa"/>
            <w:tcBorders>
              <w:top w:val="nil"/>
              <w:left w:val="nil"/>
              <w:bottom w:val="single" w:sz="4" w:space="0" w:color="000000"/>
              <w:right w:val="nil"/>
            </w:tcBorders>
          </w:tcPr>
          <w:p>
            <w:pPr>
              <w:pStyle w:val="Normal"/>
              <w:widowControl/>
              <w:suppressAutoHyphens w:val="false"/>
              <w:spacing w:before="0" w:after="0"/>
              <w:jc w:val="right"/>
              <w:rPr>
                <w:rFonts w:ascii="Calibri" w:hAnsi="Calibri" w:cs="Calibri"/>
                <w:color w:val="000000"/>
                <w:sz w:val="22"/>
                <w:szCs w:val="22"/>
              </w:rPr>
            </w:pPr>
            <w:r>
              <w:rPr>
                <w:rFonts w:eastAsia="Times New Roman" w:cs="Calibri" w:ascii="Calibri" w:hAnsi="Calibri"/>
                <w:color w:val="000000"/>
                <w:kern w:val="0"/>
                <w:sz w:val="22"/>
                <w:szCs w:val="22"/>
                <w:lang w:val="it-IT" w:eastAsia="en-US" w:bidi="ar-SA"/>
              </w:rPr>
            </w:r>
          </w:p>
        </w:tc>
        <w:tc>
          <w:tcPr>
            <w:tcW w:w="1238" w:type="dxa"/>
            <w:tcBorders>
              <w:top w:val="nil"/>
              <w:left w:val="nil"/>
              <w:bottom w:val="single" w:sz="4" w:space="0" w:color="000000"/>
              <w:right w:val="nil"/>
            </w:tcBorders>
          </w:tcPr>
          <w:p>
            <w:pPr>
              <w:pStyle w:val="Normal"/>
              <w:widowControl/>
              <w:suppressAutoHyphens w:val="false"/>
              <w:spacing w:before="0" w:after="0"/>
              <w:jc w:val="right"/>
              <w:rPr>
                <w:rFonts w:ascii="Calibri" w:hAnsi="Calibri" w:cs="Calibri"/>
                <w:color w:val="000000"/>
                <w:sz w:val="22"/>
                <w:szCs w:val="22"/>
              </w:rPr>
            </w:pPr>
            <w:r>
              <w:rPr>
                <w:rFonts w:eastAsia="Times New Roman" w:cs="Calibri" w:ascii="Calibri" w:hAnsi="Calibri"/>
                <w:color w:val="000000"/>
                <w:kern w:val="0"/>
                <w:sz w:val="22"/>
                <w:szCs w:val="22"/>
                <w:lang w:val="it-IT" w:eastAsia="en-US" w:bidi="ar-SA"/>
              </w:rPr>
            </w:r>
          </w:p>
        </w:tc>
      </w:tr>
      <w:tr>
        <w:trPr>
          <w:tblHeader w:val="true"/>
          <w:trHeight w:val="571" w:hRule="atLeast"/>
          <w:cantSplit w:val="true"/>
        </w:trPr>
        <w:tc>
          <w:tcPr>
            <w:tcW w:w="5581" w:type="dxa"/>
            <w:tcBorders>
              <w:top w:val="single" w:sz="4" w:space="0" w:color="000000"/>
              <w:left w:val="single" w:sz="4" w:space="0" w:color="000000"/>
              <w:bottom w:val="single" w:sz="4" w:space="0" w:color="000000"/>
              <w:right w:val="single" w:sz="4" w:space="0" w:color="000000"/>
            </w:tcBorders>
          </w:tcPr>
          <w:p>
            <w:pPr>
              <w:pStyle w:val="Normal"/>
              <w:widowControl/>
              <w:suppressAutoHyphens w:val="false"/>
              <w:spacing w:before="0" w:after="0"/>
              <w:jc w:val="left"/>
              <w:rPr>
                <w:rFonts w:cs="Calibri"/>
                <w:b/>
                <w:b/>
                <w:bCs/>
                <w:color w:val="000000"/>
                <w:sz w:val="22"/>
                <w:szCs w:val="22"/>
              </w:rPr>
            </w:pPr>
            <w:r>
              <w:rPr>
                <w:rFonts w:eastAsia="Times New Roman" w:ascii="Calibri" w:hAnsi="Calibri"/>
                <w:b/>
                <w:bCs/>
                <w:kern w:val="0"/>
                <w:sz w:val="20"/>
                <w:szCs w:val="20"/>
                <w:lang w:val="it-IT" w:eastAsia="en-US" w:bidi="ar-SA"/>
              </w:rPr>
              <w:t>Dipartimento e Area</w:t>
            </w:r>
          </w:p>
        </w:tc>
        <w:tc>
          <w:tcPr>
            <w:tcW w:w="1217" w:type="dxa"/>
            <w:tcBorders>
              <w:top w:val="single" w:sz="4" w:space="0" w:color="000000"/>
              <w:left w:val="single" w:sz="4" w:space="0" w:color="000000"/>
              <w:bottom w:val="single" w:sz="4" w:space="0" w:color="000000"/>
              <w:right w:val="single" w:sz="4" w:space="0" w:color="000000"/>
            </w:tcBorders>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color w:val="000000"/>
                <w:kern w:val="0"/>
                <w:sz w:val="22"/>
                <w:szCs w:val="22"/>
                <w:lang w:val="it-IT" w:eastAsia="en-US" w:bidi="ar-SA"/>
              </w:rPr>
              <w:t>N. Strutture</w:t>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color w:val="000000"/>
                <w:kern w:val="0"/>
                <w:sz w:val="22"/>
                <w:szCs w:val="22"/>
                <w:lang w:val="it-IT" w:eastAsia="en-US" w:bidi="ar-SA"/>
              </w:rPr>
              <w:t>Media valutazione</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color w:val="000000"/>
                <w:kern w:val="0"/>
                <w:sz w:val="22"/>
                <w:szCs w:val="22"/>
                <w:lang w:val="it-IT" w:eastAsia="en-US" w:bidi="ar-SA"/>
              </w:rPr>
              <w:t>Dev. Standard</w:t>
            </w:r>
          </w:p>
        </w:tc>
      </w:tr>
      <w:tr>
        <w:trPr>
          <w:trHeight w:val="571" w:hRule="atLeast"/>
          <w:cantSplit w:val="true"/>
        </w:trPr>
        <w:tc>
          <w:tcPr>
            <w:tcW w:w="5581" w:type="dxa"/>
            <w:tcBorders>
              <w:top w:val="single" w:sz="4" w:space="0" w:color="000000"/>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Amministrazione, pianificazione e controllo di gestione</w:t>
            </w:r>
          </w:p>
        </w:tc>
        <w:tc>
          <w:tcPr>
            <w:tcW w:w="1217" w:type="dxa"/>
            <w:tcBorders>
              <w:top w:val="single" w:sz="4" w:space="0" w:color="000000"/>
              <w:left w:val="nil"/>
              <w:bottom w:val="single" w:sz="4" w:space="0" w:color="95B3D7"/>
              <w:right w:val="nil"/>
            </w:tcBorders>
            <w:shd w:color="auto" w:fill="auto" w:val="clear"/>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11</w:t>
            </w:r>
          </w:p>
        </w:tc>
        <w:tc>
          <w:tcPr>
            <w:tcW w:w="1223" w:type="dxa"/>
            <w:tcBorders>
              <w:top w:val="single" w:sz="4" w:space="0" w:color="000000"/>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99,8</w:t>
            </w:r>
          </w:p>
        </w:tc>
        <w:tc>
          <w:tcPr>
            <w:tcW w:w="1238" w:type="dxa"/>
            <w:tcBorders>
              <w:top w:val="single" w:sz="4" w:space="0" w:color="000000"/>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0,6</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Amministrazione, bilancio e finanza</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4</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Pianificazione e controllo</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7</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99,7</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0,7</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Area Tecnica</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13</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Manutenzione e gestione investimenti Empoli</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Manutenzione e gestione investimenti Firenze</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4</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Manutenzione e gestione investimenti Pistoia</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Manutenzione e gestione investimenti Prato</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Strutture afferenti al Dipartimento</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4</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Assistenza infermieristica e ostetrica</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22</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99,6</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1,9</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Indirizzo, progettazione e monitoraggio</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7</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Programmazione e controllo risorse</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15</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99,4</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2,2</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del Decentramento</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11</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96,4</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4,0</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del Farmaco</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17</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della Prevenzione</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35</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99,0</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2,4</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Igiene e sanità pubblica e della nutrizione</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5</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Prevenzione igiene e sicurezza nei luoghi di lavoro</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5</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Sanità pubblica veterinaria e sicurezza alimentare</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6</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Strutture afferenti al Dipartimento</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19</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98,2</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3,1</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delle Professioni Tecnico Sanitarie</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19</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Indirizzo, progettazione e monitoraggio</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Programmazione e controllo risorse</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16</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delle Specialistiche chirurgiche</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63</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98,0</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1,8</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Altre specialistiche</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11</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99,0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Chirurgia Generale</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19</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98,5</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1,5</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Ortopedia e Traumatologia</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18</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97,0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1,6</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Testa e Collo</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15</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97,8</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2,2</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delle Specialistiche mediche</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103</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98,4</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2,0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Cardio-Toracico</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20</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98,4</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1,6</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Malattie apparato digerente, metaboliche e renali</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28</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98,3</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1,5</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Malattie cerebro-vascolari e degenerative</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95,3</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3,4</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Medicina</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45</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99,1</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1,3</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di Medicina Fisica e Riabilitazione</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6</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98,2</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1,5</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di Medicina Generale</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Diagnostica per Immagini</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18</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97,2</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0,7</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Gestione operativa</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17</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97,2</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0,7</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Indirizzo, progettazione e monitoraggio</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97,0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Emergenza e area critica</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32</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98,7</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1,6</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Anestesia e rianimazione</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99,5</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1,5</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Emergenza territoriale 118</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8</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99,0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Formazione</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4</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99,5</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0,9</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Medicina d'urgenza</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97,3</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1,5</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Materno Infantile</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20</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97,7</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2,4</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Ostetricia e ginecologia</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95,4</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0,8</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Pediatria e neonatologia</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Medicina di Laboratorio</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24</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98,1</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1,5</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Oncologico</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26</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98,5</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1,9</w:t>
            </w:r>
          </w:p>
        </w:tc>
      </w:tr>
      <w:tr>
        <w:trPr>
          <w:trHeight w:val="571"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diagnostica morfologica e caratterizzazione biomolecolare</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4</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98,0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Terapia medica e radiante</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21</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98,8</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1,7</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Strutture afferenti al Dipartimento</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95,0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Rete Sanitaria Territoriale</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29</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96,8</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3,7</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assistenza sanitaria territoriale e continuità</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13</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95,2</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4,0</w:t>
            </w:r>
          </w:p>
        </w:tc>
      </w:tr>
      <w:tr>
        <w:trPr>
          <w:trHeight w:val="571"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Governo servizi territoriali, programmazione e percorsi specialistici integrati</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6</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98,5</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3,4</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Strutture afferenti al Dipartimento</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97,9</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2,3</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Risorse Umane</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10</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Amministrazione del personale</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4</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Governance</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Personale Convenzionato</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3</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Salute Mentale e Dipendenze</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52</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Dipendenze</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12</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Salute mentale adulti</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22</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Salute mentale infanzia e adolescenza</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Strutture afferenti al Dipartimento</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Dipartimento Servizio Sociale</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4</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qualità professionale</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Servizio Sociale Territoriale</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Strutture afferenti al Dipartimento</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2</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Direzioni di Zona/SdS</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8</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Rete Ospedaliera</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21</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97,6</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2,5</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Staff della Direzione Generale</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3</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Staff della Direzione Sanitaria</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16</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99,8</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0,7</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Governo Clinico</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8</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99,6</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Area Pianificazione ed analisi performance sanitaria</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4</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color w:val="000000"/>
                <w:sz w:val="22"/>
                <w:szCs w:val="22"/>
              </w:rPr>
            </w:pPr>
            <w:r>
              <w:rPr>
                <w:rFonts w:eastAsia="Times New Roman" w:cs="Calibri" w:ascii="Calibri" w:hAnsi="Calibri"/>
                <w:color w:val="000000"/>
                <w:kern w:val="0"/>
                <w:sz w:val="22"/>
                <w:szCs w:val="22"/>
                <w:lang w:val="it-IT" w:eastAsia="en-US" w:bidi="ar-SA"/>
              </w:rPr>
              <w:t>Strutture afferenti al Dipartimento</w:t>
            </w:r>
          </w:p>
        </w:tc>
        <w:tc>
          <w:tcPr>
            <w:tcW w:w="1217"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4</w:t>
            </w:r>
          </w:p>
        </w:tc>
        <w:tc>
          <w:tcPr>
            <w:tcW w:w="1223"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100,0</w:t>
            </w:r>
          </w:p>
        </w:tc>
        <w:tc>
          <w:tcPr>
            <w:tcW w:w="1238" w:type="dxa"/>
            <w:tcBorders/>
            <w:vAlign w:val="bottom"/>
          </w:tcPr>
          <w:p>
            <w:pPr>
              <w:pStyle w:val="Normal"/>
              <w:widowControl/>
              <w:suppressAutoHyphens w:val="false"/>
              <w:spacing w:before="0" w:after="0"/>
              <w:jc w:val="right"/>
              <w:rPr>
                <w:rFonts w:cs="Calibri"/>
                <w:color w:val="000000"/>
                <w:sz w:val="22"/>
                <w:szCs w:val="22"/>
              </w:rPr>
            </w:pPr>
            <w:r>
              <w:rPr>
                <w:rFonts w:eastAsia="Times New Roman" w:cs="Calibri" w:ascii="Calibri" w:hAnsi="Calibri"/>
                <w:color w:val="000000"/>
                <w:kern w:val="0"/>
                <w:sz w:val="22"/>
                <w:szCs w:val="22"/>
                <w:lang w:val="it-IT" w:eastAsia="en-US" w:bidi="ar-SA"/>
              </w:rPr>
              <w:t>0,0</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Strutture afferenti ai Direttori della Direzione Strategica</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11</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99,6</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0,8</w:t>
            </w:r>
          </w:p>
        </w:tc>
      </w:tr>
      <w:tr>
        <w:trPr>
          <w:trHeight w:val="286" w:hRule="atLeast"/>
          <w:cantSplit w:val="true"/>
        </w:trPr>
        <w:tc>
          <w:tcPr>
            <w:tcW w:w="5581" w:type="dxa"/>
            <w:tcBorders/>
          </w:tcPr>
          <w:p>
            <w:pPr>
              <w:pStyle w:val="Normal"/>
              <w:widowControl/>
              <w:suppressAutoHyphens w:val="false"/>
              <w:spacing w:before="0" w:after="0"/>
              <w:jc w:val="left"/>
              <w:rPr>
                <w:rFonts w:cs="Calibri"/>
                <w:b/>
                <w:b/>
                <w:bCs/>
                <w:color w:val="000000"/>
                <w:sz w:val="22"/>
                <w:szCs w:val="22"/>
              </w:rPr>
            </w:pPr>
            <w:r>
              <w:rPr>
                <w:rFonts w:eastAsia="Times New Roman" w:cs="Calibri" w:ascii="Calibri" w:hAnsi="Calibri"/>
                <w:b/>
                <w:bCs/>
                <w:color w:val="000000"/>
                <w:kern w:val="0"/>
                <w:sz w:val="22"/>
                <w:szCs w:val="22"/>
                <w:lang w:val="it-IT" w:eastAsia="en-US" w:bidi="ar-SA"/>
              </w:rPr>
              <w:t>Totale complessivo</w:t>
            </w:r>
          </w:p>
        </w:tc>
        <w:tc>
          <w:tcPr>
            <w:tcW w:w="1217"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575</w:t>
            </w:r>
          </w:p>
        </w:tc>
        <w:tc>
          <w:tcPr>
            <w:tcW w:w="1223"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98,7</w:t>
            </w:r>
          </w:p>
        </w:tc>
        <w:tc>
          <w:tcPr>
            <w:tcW w:w="1238" w:type="dxa"/>
            <w:tcBorders/>
            <w:vAlign w:val="bottom"/>
          </w:tcPr>
          <w:p>
            <w:pPr>
              <w:pStyle w:val="Normal"/>
              <w:widowControl/>
              <w:suppressAutoHyphens w:val="false"/>
              <w:spacing w:before="0" w:after="0"/>
              <w:jc w:val="right"/>
              <w:rPr>
                <w:rFonts w:cs="Calibri"/>
                <w:b/>
                <w:b/>
                <w:bCs/>
                <w:color w:val="000000"/>
                <w:sz w:val="22"/>
                <w:szCs w:val="22"/>
              </w:rPr>
            </w:pPr>
            <w:r>
              <w:rPr>
                <w:rFonts w:eastAsia="Times New Roman" w:cs="Calibri" w:ascii="Calibri" w:hAnsi="Calibri"/>
                <w:b/>
                <w:bCs/>
                <w:color w:val="000000"/>
                <w:kern w:val="0"/>
                <w:sz w:val="22"/>
                <w:szCs w:val="22"/>
                <w:lang w:val="it-IT" w:eastAsia="en-US" w:bidi="ar-SA"/>
              </w:rPr>
              <w:t>2,1</w:t>
            </w:r>
          </w:p>
        </w:tc>
      </w:tr>
    </w:tbl>
    <w:p>
      <w:pPr>
        <w:pStyle w:val="Normal"/>
        <w:suppressAutoHyphens w:val="false"/>
        <w:rPr>
          <w:rFonts w:ascii="Calibri" w:hAnsi="Calibri" w:cs="Calibri"/>
          <w:sz w:val="22"/>
          <w:szCs w:val="22"/>
        </w:rPr>
      </w:pPr>
      <w:r>
        <w:rPr>
          <w:rFonts w:cs="Calibri" w:ascii="Calibri" w:hAnsi="Calibri"/>
          <w:sz w:val="22"/>
          <w:szCs w:val="22"/>
        </w:rPr>
      </w:r>
    </w:p>
    <w:p>
      <w:pPr>
        <w:pStyle w:val="Normal"/>
        <w:suppressAutoHyphens w:val="false"/>
        <w:rPr>
          <w:rFonts w:ascii="Calibri" w:hAnsi="Calibri" w:cs="Calibri"/>
          <w:sz w:val="22"/>
          <w:szCs w:val="22"/>
        </w:rPr>
      </w:pPr>
      <w:r>
        <w:rPr>
          <w:rFonts w:cs="Calibri" w:ascii="Calibri" w:hAnsi="Calibri"/>
          <w:sz w:val="22"/>
          <w:szCs w:val="22"/>
        </w:rPr>
      </w:r>
      <w:r>
        <w:br w:type="page"/>
      </w:r>
    </w:p>
    <w:p>
      <w:pPr>
        <w:pStyle w:val="Normal"/>
        <w:suppressAutoHyphens w:val="false"/>
        <w:rPr>
          <w:rFonts w:ascii="Calibri" w:hAnsi="Calibri" w:cs="Calibri"/>
          <w:sz w:val="22"/>
          <w:szCs w:val="22"/>
        </w:rPr>
      </w:pPr>
      <w:r>
        <w:rPr>
          <w:rFonts w:cs="Calibri" w:ascii="Calibri" w:hAnsi="Calibri"/>
          <w:sz w:val="22"/>
          <w:szCs w:val="22"/>
        </w:rPr>
      </w:r>
    </w:p>
    <w:p>
      <w:pPr>
        <w:pStyle w:val="Normal"/>
        <w:spacing w:lineRule="atLeast" w:line="320" w:before="0" w:after="120"/>
        <w:jc w:val="both"/>
        <w:rPr>
          <w:rFonts w:ascii="Calibri" w:hAnsi="Calibri" w:cs="Calibri"/>
          <w:sz w:val="22"/>
          <w:szCs w:val="22"/>
        </w:rPr>
      </w:pPr>
      <w:r>
        <w:rPr>
          <w:rFonts w:cs="Calibri" w:ascii="Calibri" w:hAnsi="Calibri"/>
          <w:sz w:val="22"/>
          <w:szCs w:val="22"/>
        </w:rPr>
      </w:r>
    </w:p>
    <w:p>
      <w:pPr>
        <w:pStyle w:val="Titoloprincipale"/>
        <w:numPr>
          <w:ilvl w:val="0"/>
          <w:numId w:val="1"/>
        </w:numPr>
        <w:spacing w:lineRule="atLeast" w:line="320" w:before="0" w:after="120"/>
        <w:ind w:left="0" w:hanging="0"/>
        <w:jc w:val="left"/>
        <w:rPr>
          <w:rFonts w:ascii="Calibri" w:hAnsi="Calibri" w:cs="Calibri" w:asciiTheme="minorHAnsi" w:cstheme="minorHAnsi" w:hAnsiTheme="minorHAnsi"/>
          <w:sz w:val="28"/>
          <w:szCs w:val="28"/>
        </w:rPr>
      </w:pPr>
      <w:bookmarkStart w:id="53" w:name="_Toc152228364"/>
      <w:r>
        <w:rPr>
          <w:rFonts w:cs="Calibri" w:ascii="Calibri" w:hAnsi="Calibri" w:asciiTheme="minorHAnsi" w:cstheme="minorHAnsi" w:hAnsiTheme="minorHAnsi"/>
          <w:sz w:val="28"/>
          <w:szCs w:val="28"/>
        </w:rPr>
        <w:t>RISULTATI DI ATTIVITÀ ECONOMICA</w:t>
      </w:r>
      <w:bookmarkEnd w:id="53"/>
    </w:p>
    <w:p>
      <w:pPr>
        <w:pStyle w:val="Corpodeltesto"/>
        <w:rPr/>
      </w:pPr>
      <w:r>
        <w:rPr/>
      </w:r>
    </w:p>
    <w:p>
      <w:pPr>
        <w:pStyle w:val="Corpodeltesto"/>
        <w:rPr>
          <w:rFonts w:ascii="Calibri" w:hAnsi="Calibri" w:cs="Calibri" w:asciiTheme="minorHAnsi" w:cstheme="minorHAnsi" w:hAnsiTheme="minorHAnsi"/>
          <w:b/>
          <w:b/>
        </w:rPr>
      </w:pPr>
      <w:r>
        <w:rPr>
          <w:rFonts w:cs="Calibri" w:ascii="Calibri" w:hAnsi="Calibri" w:asciiTheme="minorHAnsi" w:cstheme="minorHAnsi" w:hAnsiTheme="minorHAnsi"/>
          <w:b/>
        </w:rPr>
        <w:t>7.1 OBIETTIVI ECONOMICI  2022</w:t>
      </w:r>
    </w:p>
    <w:p>
      <w:pPr>
        <w:pStyle w:val="PlainText"/>
        <w:spacing w:lineRule="auto" w:line="360"/>
        <w:jc w:val="both"/>
        <w:rPr>
          <w:rFonts w:cs="Calibri"/>
          <w:szCs w:val="22"/>
        </w:rPr>
      </w:pPr>
      <w:r>
        <w:rPr>
          <w:rFonts w:cs="Calibri"/>
          <w:szCs w:val="22"/>
        </w:rPr>
        <w:t>La definizione degli obiettivi economici da parte della Regione Toscana, nell’anno 2022, ha seguito temporalmente due fasi distinte. Inizialmente, nelle linee guida al Bilancio di Previsione, datate 25/02/2022, venivano stabiliti i seguenti andamenti:</w:t>
      </w:r>
    </w:p>
    <w:p>
      <w:pPr>
        <w:pStyle w:val="PlainText"/>
        <w:numPr>
          <w:ilvl w:val="0"/>
          <w:numId w:val="10"/>
        </w:numPr>
        <w:spacing w:lineRule="auto" w:line="360"/>
        <w:jc w:val="both"/>
        <w:rPr>
          <w:rFonts w:cs="Calibri"/>
          <w:szCs w:val="22"/>
        </w:rPr>
      </w:pPr>
      <w:r>
        <w:rPr>
          <w:rFonts w:cs="Calibri"/>
          <w:szCs w:val="22"/>
        </w:rPr>
        <w:t>Personale dipendente: non superamento del costo 2019 incrementato del 3,5% al netto degli ulteriori costi determinati dall’incremento delle indennità a favore del personale sanitario (dirigenti sanitari e personale infermieristico) previste dall’art.1, commi 407-411, della Legge di Bilancio 2021 (L. 178/2020).</w:t>
      </w:r>
    </w:p>
    <w:p>
      <w:pPr>
        <w:pStyle w:val="PlainText"/>
        <w:numPr>
          <w:ilvl w:val="0"/>
          <w:numId w:val="10"/>
        </w:numPr>
        <w:spacing w:lineRule="auto" w:line="360"/>
        <w:jc w:val="both"/>
        <w:rPr>
          <w:rFonts w:cs="Calibri"/>
          <w:szCs w:val="22"/>
        </w:rPr>
      </w:pPr>
      <w:r>
        <w:rPr>
          <w:rFonts w:cs="Calibri"/>
          <w:szCs w:val="22"/>
        </w:rPr>
        <w:t>Convenzioni uniche nazionali: mantenimento spesa 2021</w:t>
      </w:r>
    </w:p>
    <w:p>
      <w:pPr>
        <w:pStyle w:val="PlainText"/>
        <w:numPr>
          <w:ilvl w:val="0"/>
          <w:numId w:val="10"/>
        </w:numPr>
        <w:spacing w:lineRule="auto" w:line="360"/>
        <w:jc w:val="both"/>
        <w:rPr>
          <w:rFonts w:cs="Calibri"/>
          <w:szCs w:val="22"/>
        </w:rPr>
      </w:pPr>
      <w:r>
        <w:rPr>
          <w:rFonts w:cs="Calibri"/>
          <w:szCs w:val="22"/>
        </w:rPr>
        <w:t>Acquisti diretti di Medicinali (consumi interni + distribuzione diretta + distribuzione per conto): riduzione del 4,77% della spesa 2021</w:t>
      </w:r>
    </w:p>
    <w:p>
      <w:pPr>
        <w:pStyle w:val="PlainText"/>
        <w:numPr>
          <w:ilvl w:val="0"/>
          <w:numId w:val="10"/>
        </w:numPr>
        <w:spacing w:lineRule="auto" w:line="360"/>
        <w:jc w:val="both"/>
        <w:rPr>
          <w:rFonts w:cs="Calibri"/>
          <w:szCs w:val="22"/>
        </w:rPr>
      </w:pPr>
      <w:r>
        <w:rPr>
          <w:rFonts w:cs="Calibri"/>
          <w:szCs w:val="22"/>
        </w:rPr>
        <w:t>Dispositivi diagnostici in vitro e DPI: si ipotizza, causa persistere dell’emergenza Covid-19, superamento del costo 2019 (senza ulteriore specifica indicazione)</w:t>
      </w:r>
    </w:p>
    <w:p>
      <w:pPr>
        <w:pStyle w:val="PlainText"/>
        <w:numPr>
          <w:ilvl w:val="0"/>
          <w:numId w:val="10"/>
        </w:numPr>
        <w:spacing w:lineRule="auto" w:line="360"/>
        <w:jc w:val="both"/>
        <w:rPr>
          <w:rFonts w:cs="Calibri"/>
          <w:szCs w:val="22"/>
        </w:rPr>
      </w:pPr>
      <w:r>
        <w:rPr>
          <w:rFonts w:cs="Calibri"/>
          <w:szCs w:val="22"/>
        </w:rPr>
        <w:t>Dispositivi medici ed Impiantabili nonché tutti gli altri beni di consumo sanitari: mantenimento costi 2019</w:t>
      </w:r>
    </w:p>
    <w:p>
      <w:pPr>
        <w:pStyle w:val="PlainText"/>
        <w:numPr>
          <w:ilvl w:val="0"/>
          <w:numId w:val="10"/>
        </w:numPr>
        <w:spacing w:lineRule="auto" w:line="360"/>
        <w:jc w:val="both"/>
        <w:rPr>
          <w:rFonts w:cs="Calibri"/>
          <w:szCs w:val="22"/>
        </w:rPr>
      </w:pPr>
      <w:r>
        <w:rPr>
          <w:rFonts w:cs="Calibri"/>
          <w:szCs w:val="22"/>
        </w:rPr>
        <w:t>Farmaceutica convenzionata: mantenimento spesa 2021</w:t>
      </w:r>
    </w:p>
    <w:p>
      <w:pPr>
        <w:pStyle w:val="PlainText"/>
        <w:numPr>
          <w:ilvl w:val="0"/>
          <w:numId w:val="10"/>
        </w:numPr>
        <w:spacing w:lineRule="auto" w:line="360"/>
        <w:jc w:val="both"/>
        <w:rPr>
          <w:rFonts w:cs="Calibri"/>
          <w:szCs w:val="22"/>
        </w:rPr>
      </w:pPr>
      <w:r>
        <w:rPr>
          <w:rFonts w:cs="Calibri"/>
          <w:szCs w:val="22"/>
        </w:rPr>
        <w:t>Acquisto prestazioni da strutture private accreditate (di ricovero, diagnostica, ambulatoriale): rispetto dei tetti stabiliti dalla DGR n° 1220 del 8/11/2018</w:t>
      </w:r>
    </w:p>
    <w:p>
      <w:pPr>
        <w:pStyle w:val="PlainText"/>
        <w:numPr>
          <w:ilvl w:val="0"/>
          <w:numId w:val="10"/>
        </w:numPr>
        <w:spacing w:lineRule="auto" w:line="360"/>
        <w:jc w:val="both"/>
        <w:rPr>
          <w:rFonts w:cs="Calibri"/>
          <w:szCs w:val="22"/>
        </w:rPr>
      </w:pPr>
      <w:r>
        <w:rPr>
          <w:rFonts w:cs="Calibri"/>
          <w:szCs w:val="22"/>
        </w:rPr>
        <w:t>Tutti gli altri costi della produzione: mantenimento spesa 2019 (fatta eccezione per i servizi aggiudicati con contratti di durata pluriennale, indicizzati dall’inflazione; le utenze e le relative impennate di prezzo prodottesi nei mercati internazionali)</w:t>
      </w:r>
    </w:p>
    <w:p>
      <w:pPr>
        <w:pStyle w:val="PlainText"/>
        <w:spacing w:lineRule="auto" w:line="360"/>
        <w:jc w:val="both"/>
        <w:rPr>
          <w:rFonts w:cs="Calibri"/>
          <w:szCs w:val="22"/>
        </w:rPr>
      </w:pPr>
      <w:r>
        <w:rPr>
          <w:rFonts w:cs="Calibri"/>
          <w:szCs w:val="22"/>
        </w:rPr>
        <w:t>A seguire, il Settore regionale competente “Politiche del Farmaco e Dispositivi” inviò una ufficiale comunicazione in merito all’obiettivo economico dell’Azienda su Acquisti Estar (consumi interni e diretta), Distribuzione per conto e Convenzionata con i seguenti parametri massimi di spesa:</w:t>
      </w:r>
    </w:p>
    <w:p>
      <w:pPr>
        <w:pStyle w:val="PlainText"/>
        <w:numPr>
          <w:ilvl w:val="0"/>
          <w:numId w:val="11"/>
        </w:numPr>
        <w:spacing w:lineRule="auto" w:line="360"/>
        <w:jc w:val="both"/>
        <w:rPr>
          <w:rFonts w:cs="Calibri"/>
          <w:szCs w:val="22"/>
        </w:rPr>
      </w:pPr>
      <w:r>
        <w:rPr>
          <w:rFonts w:cs="Calibri"/>
          <w:szCs w:val="22"/>
        </w:rPr>
        <w:t>Acquisti Estar (esclusi vaccini e dpc): 208.255.989€</w:t>
      </w:r>
    </w:p>
    <w:p>
      <w:pPr>
        <w:pStyle w:val="PlainText"/>
        <w:numPr>
          <w:ilvl w:val="0"/>
          <w:numId w:val="11"/>
        </w:numPr>
        <w:spacing w:lineRule="auto" w:line="360"/>
        <w:jc w:val="both"/>
        <w:rPr>
          <w:rFonts w:cs="Calibri"/>
          <w:szCs w:val="22"/>
        </w:rPr>
      </w:pPr>
      <w:r>
        <w:rPr>
          <w:rFonts w:cs="Calibri"/>
          <w:szCs w:val="22"/>
        </w:rPr>
        <w:t>Distribuzione per conto (DPC): 59.923.609€</w:t>
      </w:r>
    </w:p>
    <w:p>
      <w:pPr>
        <w:pStyle w:val="PlainText"/>
        <w:numPr>
          <w:ilvl w:val="0"/>
          <w:numId w:val="11"/>
        </w:numPr>
        <w:spacing w:lineRule="auto" w:line="360"/>
        <w:jc w:val="both"/>
        <w:rPr>
          <w:rFonts w:cs="Calibri"/>
          <w:szCs w:val="22"/>
        </w:rPr>
      </w:pPr>
      <w:r>
        <w:rPr>
          <w:rFonts w:cs="Calibri"/>
          <w:szCs w:val="22"/>
        </w:rPr>
        <w:t>Farm. Convenzionata: 185.000.000</w:t>
      </w:r>
    </w:p>
    <w:p>
      <w:pPr>
        <w:pStyle w:val="PlainText"/>
        <w:spacing w:lineRule="auto" w:line="360"/>
        <w:jc w:val="both"/>
        <w:rPr>
          <w:rFonts w:cs="Calibri"/>
          <w:b/>
          <w:b/>
          <w:szCs w:val="22"/>
        </w:rPr>
      </w:pPr>
      <w:r>
        <w:rPr>
          <w:rFonts w:cs="Calibri"/>
          <w:szCs w:val="22"/>
        </w:rPr>
        <w:t xml:space="preserve">Per un totale per l’Azienda USL Toscana Centro di </w:t>
      </w:r>
      <w:r>
        <w:rPr>
          <w:rFonts w:cs="Calibri"/>
          <w:b/>
          <w:szCs w:val="22"/>
        </w:rPr>
        <w:t>453.179.598€</w:t>
      </w:r>
    </w:p>
    <w:p>
      <w:pPr>
        <w:pStyle w:val="PlainText"/>
        <w:spacing w:lineRule="auto" w:line="360"/>
        <w:jc w:val="both"/>
        <w:rPr>
          <w:rFonts w:cs="Calibri"/>
          <w:b/>
          <w:b/>
          <w:szCs w:val="22"/>
        </w:rPr>
      </w:pPr>
      <w:r>
        <w:rPr>
          <w:rFonts w:cs="Calibri"/>
          <w:b/>
          <w:szCs w:val="22"/>
        </w:rPr>
      </w:r>
    </w:p>
    <w:p>
      <w:pPr>
        <w:pStyle w:val="PlainText"/>
        <w:spacing w:lineRule="auto" w:line="360"/>
        <w:jc w:val="both"/>
        <w:rPr>
          <w:rFonts w:cs="Calibri"/>
          <w:szCs w:val="22"/>
        </w:rPr>
      </w:pPr>
      <w:r>
        <w:rPr>
          <w:rFonts w:cs="Calibri"/>
          <w:szCs w:val="22"/>
        </w:rPr>
        <w:t>Dopo questa prima fase, sono susseguiti incontri in Regione in merito sia all’andamento economico complessivo dell’Azienda, che nel frattempo aveva già da aprile predisposto un Piano di Rientro per il governo della spesa e la messa a punto di azioni di contenimento, sia agli obiettivi legati al settore Farmaceutico sul quale il Dipartimento del Farmaco aziendale ha da tempo ribattuto secondo due linee guida, principi ispiratori della negoziazione con la Regione: l’assegnazione di una spesa farmaceutica convenzionata pro-capite uguale per tutte le Aziende toscane da un lato e la condivisione o assegnazione della responsabilità della spesa per distribuzione diretta prescritta dai medici delle Aziende Ospedaliere Universitarie ai nostri residenti dall’altro.</w:t>
      </w:r>
    </w:p>
    <w:p>
      <w:pPr>
        <w:pStyle w:val="PlainText"/>
        <w:spacing w:lineRule="auto" w:line="360"/>
        <w:jc w:val="both"/>
        <w:rPr>
          <w:rFonts w:cs="Calibri"/>
          <w:szCs w:val="22"/>
        </w:rPr>
      </w:pPr>
      <w:r>
        <w:rPr>
          <w:rFonts w:cs="Calibri"/>
          <w:szCs w:val="22"/>
        </w:rPr>
      </w:r>
    </w:p>
    <w:p>
      <w:pPr>
        <w:pStyle w:val="PlainText"/>
        <w:spacing w:lineRule="auto" w:line="360"/>
        <w:jc w:val="both"/>
        <w:rPr>
          <w:rFonts w:cs="Calibri"/>
          <w:szCs w:val="22"/>
        </w:rPr>
      </w:pPr>
      <w:r>
        <w:rPr>
          <w:rFonts w:cs="Calibri"/>
          <w:szCs w:val="22"/>
        </w:rPr>
        <w:t xml:space="preserve">Nell’ultimo trimestre, a seguito dei diversi tavoli di negoziazione avviati, la Regione Toscana ha rimodulato gli obiettivi 2022 sulla spesa farmaceutica, sia per acquisti diretti, incrementando il tetto massimo di spesa portandolo a </w:t>
      </w:r>
      <w:r>
        <w:rPr>
          <w:rFonts w:cs="Calibri"/>
          <w:b/>
          <w:szCs w:val="22"/>
          <w:u w:val="single"/>
        </w:rPr>
        <w:t xml:space="preserve">309milioni di euro </w:t>
      </w:r>
      <w:r>
        <w:rPr>
          <w:rFonts w:cs="Calibri"/>
          <w:szCs w:val="22"/>
        </w:rPr>
        <w:t xml:space="preserve">(al netto delle note di credito) e sulla farmaceutica convenzionata a </w:t>
      </w:r>
      <w:r>
        <w:rPr>
          <w:rFonts w:cs="Calibri"/>
          <w:b/>
          <w:szCs w:val="22"/>
          <w:u w:val="single"/>
        </w:rPr>
        <w:t>190milioni di euro</w:t>
      </w:r>
      <w:r>
        <w:rPr>
          <w:rFonts w:cs="Calibri"/>
          <w:szCs w:val="22"/>
        </w:rPr>
        <w:t>.</w:t>
      </w:r>
    </w:p>
    <w:p>
      <w:pPr>
        <w:pStyle w:val="Normal"/>
        <w:pBdr/>
        <w:spacing w:lineRule="auto" w:line="360" w:before="120" w:after="200"/>
        <w:jc w:val="both"/>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In sintesi, gli obiettivi economici contenuti nelle schede di Budget 2022 hanno quindi avuto per oggetto:</w:t>
      </w:r>
    </w:p>
    <w:p>
      <w:pPr>
        <w:pStyle w:val="Normal"/>
        <w:numPr>
          <w:ilvl w:val="0"/>
          <w:numId w:val="18"/>
        </w:numPr>
        <w:pBdr/>
        <w:spacing w:lineRule="auto" w:line="360" w:before="0" w:after="200"/>
        <w:jc w:val="both"/>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 xml:space="preserve">consumi </w:t>
      </w:r>
      <w:r>
        <w:rPr>
          <w:rFonts w:cs="Calibri" w:ascii="Calibri" w:hAnsi="Calibri" w:asciiTheme="minorHAnsi" w:cstheme="minorHAnsi" w:hAnsiTheme="minorHAnsi"/>
          <w:sz w:val="22"/>
          <w:szCs w:val="22"/>
        </w:rPr>
        <w:t>di beni sanitari, per le strutture ospedaliere, e consumi sanitari e non sanitari per le strutture territoriali –  con revisione a fine anno degli obiettivi sui Medicinali (in linea con le decisioni regionali sopra indicate) comprendendo al loro interno oltre ai consumi interni rilevati dalla Contabilità analitica anche la spesa per distribuzione diretta, per conto e convenzionata rilevati dalla lettura ottica degli specialisti afferenti ad ogni struttura;</w:t>
      </w:r>
    </w:p>
    <w:p>
      <w:pPr>
        <w:pStyle w:val="Normal"/>
        <w:numPr>
          <w:ilvl w:val="0"/>
          <w:numId w:val="18"/>
        </w:numPr>
        <w:pBdr/>
        <w:spacing w:lineRule="auto" w:line="360" w:before="0" w:after="200"/>
        <w:jc w:val="both"/>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azioni di appropriatezza farmaceutica declinati sulle singole strutture e calcolati, in termini di unità posologiche, su tre canali distributivi: consumi interni, distribuzione diretta, distribuzione per conto;</w:t>
      </w:r>
    </w:p>
    <w:p>
      <w:pPr>
        <w:pStyle w:val="Normal"/>
        <w:numPr>
          <w:ilvl w:val="0"/>
          <w:numId w:val="18"/>
        </w:numPr>
        <w:pBdr/>
        <w:spacing w:lineRule="auto" w:line="360" w:before="0" w:after="200"/>
        <w:jc w:val="both"/>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costi per rette strutture convenzionate, appalti cooperative e contributi per le strutture territoriali del Dipartimento Salute Mentale e Dipendenze;</w:t>
      </w:r>
    </w:p>
    <w:p>
      <w:pPr>
        <w:pStyle w:val="Normal"/>
        <w:numPr>
          <w:ilvl w:val="0"/>
          <w:numId w:val="18"/>
        </w:numPr>
        <w:pBdr/>
        <w:spacing w:lineRule="auto" w:line="360" w:before="0" w:after="200"/>
        <w:jc w:val="both"/>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quote sanitarie non autosufficienza per il Dipartimento Servizi Sociali;</w:t>
      </w:r>
    </w:p>
    <w:p>
      <w:pPr>
        <w:pStyle w:val="Normal"/>
        <w:numPr>
          <w:ilvl w:val="0"/>
          <w:numId w:val="18"/>
        </w:numPr>
        <w:pBdr/>
        <w:spacing w:lineRule="auto" w:line="360" w:before="0" w:after="200"/>
        <w:jc w:val="both"/>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spesa complessiva per la farmaceutica convenzionata, le convenzioni per lo screening e per le cure intermedie degli ambiti zonali per il Dipartimento Rete Sanitaria Territoriale.</w:t>
      </w:r>
    </w:p>
    <w:p>
      <w:pPr>
        <w:pStyle w:val="Normal"/>
        <w:pBdr/>
        <w:spacing w:lineRule="auto" w:line="360" w:before="0" w:after="200"/>
        <w:ind w:left="360" w:hanging="0"/>
        <w:jc w:val="both"/>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Per tutte le strutture di staff e della Tecnostruttura e in generale per quelle strutture aziendali non aventi una vera e propria scheda economica (standard), in quanto non consumano direttamente risorse aziendali se non di importo minimo (es. la cancelleria) è stato attribuito il consueto obiettivo collegato al rispetto dell’equilibrio economico aziendale o degli accordi economici regionali così come previsto dal Regolamento aziendale approvato nel luglio 2023, ad eccezione di alcune strutture che essendo direttamente interessate dal Piano di Rientro aziendale, hanno avuto una scheda budget economica impostata sulla realizzazione e concretizzazione delle azioni definite e condivise nel Piano di Rientro.</w:t>
      </w:r>
    </w:p>
    <w:p>
      <w:pPr>
        <w:pStyle w:val="PlainText"/>
        <w:spacing w:lineRule="auto" w:line="360"/>
        <w:jc w:val="both"/>
        <w:rPr>
          <w:rFonts w:ascii="Calibri" w:hAnsi="Calibri" w:cs="Calibri" w:asciiTheme="minorHAnsi" w:cstheme="minorHAnsi" w:hAnsiTheme="minorHAnsi"/>
          <w:szCs w:val="22"/>
        </w:rPr>
      </w:pPr>
      <w:r>
        <w:rPr>
          <w:rFonts w:cs="Calibri" w:cstheme="minorHAnsi"/>
          <w:szCs w:val="22"/>
        </w:rPr>
      </w:r>
    </w:p>
    <w:p>
      <w:pPr>
        <w:pStyle w:val="Corpodeltesto"/>
        <w:rPr>
          <w:rFonts w:ascii="Calibri" w:hAnsi="Calibri" w:cs="Calibri" w:asciiTheme="minorHAnsi" w:cstheme="minorHAnsi" w:hAnsiTheme="minorHAnsi"/>
          <w:b/>
          <w:b/>
        </w:rPr>
      </w:pPr>
      <w:r>
        <w:rPr>
          <w:rFonts w:cs="Calibri" w:ascii="Calibri" w:hAnsi="Calibri" w:asciiTheme="minorHAnsi" w:cstheme="minorHAnsi" w:hAnsiTheme="minorHAnsi"/>
          <w:b/>
        </w:rPr>
        <w:t>7.2 VALUTAZIONE OBIETTIVI ECONOMICI  2022</w:t>
      </w:r>
    </w:p>
    <w:p>
      <w:pPr>
        <w:pStyle w:val="PlainText"/>
        <w:spacing w:lineRule="auto" w:line="360"/>
        <w:jc w:val="both"/>
        <w:rPr>
          <w:rFonts w:ascii="Calibri" w:hAnsi="Calibri" w:cs="Calibri" w:asciiTheme="minorHAnsi" w:cstheme="minorHAnsi" w:hAnsiTheme="minorHAnsi"/>
          <w:b/>
          <w:b/>
          <w:szCs w:val="22"/>
        </w:rPr>
      </w:pPr>
      <w:r>
        <w:rPr>
          <w:rFonts w:cs="Calibri" w:cstheme="minorHAnsi"/>
          <w:b/>
          <w:szCs w:val="22"/>
        </w:rPr>
        <w:t>A) LIVELLO AZIENDALE</w:t>
      </w:r>
    </w:p>
    <w:p>
      <w:pPr>
        <w:pStyle w:val="PlainText"/>
        <w:spacing w:lineRule="auto" w:line="360"/>
        <w:jc w:val="both"/>
        <w:rPr>
          <w:rFonts w:cs="Calibri"/>
          <w:szCs w:val="22"/>
        </w:rPr>
      </w:pPr>
      <w:r>
        <w:rPr>
          <w:rFonts w:cs="Calibri" w:cstheme="minorHAnsi"/>
          <w:szCs w:val="22"/>
        </w:rPr>
        <w:t>Gli obiettivi assegnati all’ASLTC e declinati nel paragrafo 7.1 si sono concretizzati a</w:t>
      </w:r>
      <w:r>
        <w:rPr>
          <w:rFonts w:cs="Calibri"/>
          <w:szCs w:val="22"/>
        </w:rPr>
        <w:t xml:space="preserve"> chiusura del bilancio di esercizio, nei seguenti dati di consuntivo:</w:t>
      </w:r>
    </w:p>
    <w:p>
      <w:pPr>
        <w:pStyle w:val="PlainText"/>
        <w:spacing w:lineRule="auto" w:line="360"/>
        <w:jc w:val="both"/>
        <w:rPr>
          <w:rFonts w:cs="Calibri"/>
          <w:szCs w:val="22"/>
        </w:rPr>
      </w:pPr>
      <w:r>
        <w:rPr>
          <w:rFonts w:cs="Calibri"/>
          <w:szCs w:val="22"/>
        </w:rPr>
      </w:r>
    </w:p>
    <w:p>
      <w:pPr>
        <w:pStyle w:val="PlainText"/>
        <w:spacing w:lineRule="auto" w:line="360"/>
        <w:jc w:val="both"/>
        <w:rPr>
          <w:b/>
          <w:b/>
          <w:lang w:eastAsia="it-IT"/>
        </w:rPr>
      </w:pPr>
      <w:r>
        <w:rPr>
          <w:b/>
          <w:lang w:eastAsia="it-IT"/>
        </w:rPr>
        <w:t xml:space="preserve">tabella 38. spesa Farmaceutica – andamento anno 2021/2022 e confronto con obiettivo regionale </w:t>
      </w:r>
    </w:p>
    <w:p>
      <w:pPr>
        <w:pStyle w:val="PlainText"/>
        <w:spacing w:lineRule="auto" w:line="360"/>
        <w:jc w:val="both"/>
        <w:rPr>
          <w:rFonts w:cs="Calibri"/>
          <w:szCs w:val="22"/>
          <w:lang w:eastAsia="it-IT"/>
        </w:rPr>
      </w:pPr>
      <w:r>
        <w:rPr/>
        <w:drawing>
          <wp:inline distT="0" distB="0" distL="0" distR="0">
            <wp:extent cx="6120130" cy="1746885"/>
            <wp:effectExtent l="0" t="0" r="0" b="0"/>
            <wp:docPr id="57" name="Immagine 13671074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 1367107458" descr=""/>
                    <pic:cNvPicPr>
                      <a:picLocks noChangeAspect="1" noChangeArrowheads="1"/>
                    </pic:cNvPicPr>
                  </pic:nvPicPr>
                  <pic:blipFill>
                    <a:blip r:embed="rId55"/>
                    <a:stretch>
                      <a:fillRect/>
                    </a:stretch>
                  </pic:blipFill>
                  <pic:spPr bwMode="auto">
                    <a:xfrm>
                      <a:off x="0" y="0"/>
                      <a:ext cx="6120130" cy="1746885"/>
                    </a:xfrm>
                    <a:prstGeom prst="rect">
                      <a:avLst/>
                    </a:prstGeom>
                  </pic:spPr>
                </pic:pic>
              </a:graphicData>
            </a:graphic>
          </wp:inline>
        </w:drawing>
      </w:r>
    </w:p>
    <w:p>
      <w:pPr>
        <w:pStyle w:val="PlainText"/>
        <w:spacing w:lineRule="auto" w:line="360"/>
        <w:jc w:val="both"/>
        <w:rPr>
          <w:rFonts w:cs="Calibri"/>
          <w:szCs w:val="22"/>
          <w:lang w:eastAsia="it-IT"/>
        </w:rPr>
      </w:pPr>
      <w:r>
        <w:rPr>
          <w:rFonts w:cs="Calibri"/>
          <w:szCs w:val="22"/>
          <w:lang w:eastAsia="it-IT"/>
        </w:rPr>
        <w:t xml:space="preserve">I dati di chiusura dell’anno 2022 dimostrano come complessivamente l’Azienda abbia pressoché raggiunto gli obiettivi economici relativi alla spesa Farmaceutica, con una </w:t>
      </w:r>
      <w:r>
        <w:rPr>
          <w:rFonts w:cs="Calibri"/>
          <w:i/>
          <w:szCs w:val="22"/>
          <w:lang w:eastAsia="it-IT"/>
        </w:rPr>
        <w:t>maggiore spesa rispetto all’obiettivo di circa 3,5 milioni sugli acquisti diretti ed una minore spesa rispetto all’obiettivo di circa 2,7 milioni sulla farmaceutica convenzionata</w:t>
      </w:r>
      <w:r>
        <w:rPr>
          <w:rFonts w:cs="Calibri"/>
          <w:szCs w:val="22"/>
          <w:lang w:eastAsia="it-IT"/>
        </w:rPr>
        <w:t xml:space="preserve">.  Sul complessivo si registra dunque uno scostamento di circa </w:t>
      </w:r>
      <w:r>
        <w:rPr>
          <w:rFonts w:cs="Calibri"/>
          <w:b/>
          <w:szCs w:val="22"/>
          <w:lang w:eastAsia="it-IT"/>
        </w:rPr>
        <w:t>+900mila euro pari a +0,2</w:t>
      </w:r>
      <w:r>
        <w:rPr>
          <w:rFonts w:cs="Calibri"/>
          <w:szCs w:val="22"/>
          <w:lang w:eastAsia="it-IT"/>
        </w:rPr>
        <w:t>%.</w:t>
      </w:r>
    </w:p>
    <w:p>
      <w:pPr>
        <w:pStyle w:val="PlainText"/>
        <w:spacing w:lineRule="auto" w:line="360"/>
        <w:jc w:val="both"/>
        <w:rPr>
          <w:rFonts w:cs="Calibri"/>
          <w:szCs w:val="22"/>
          <w:lang w:eastAsia="it-IT"/>
        </w:rPr>
      </w:pPr>
      <w:r>
        <w:rPr>
          <w:rFonts w:cs="Calibri"/>
          <w:szCs w:val="22"/>
          <w:lang w:eastAsia="it-IT"/>
        </w:rPr>
        <w:t xml:space="preserve">Questo risultato viene valutato positivamente, seppure non determini la piena centratura dell’obiettivo e nonostante sia evidente l’incremento complessivo tra il 2022 e il 2021 (+8milioni) degli acquisti dei medicinali nell’esercizio. Guardando a questo incremento tra i due anni si evidenzia infatti, dalla relazione della Responsabile del Dipartimento del Farmaco, come tale incremento (tra convenzionata e acquisti diretti) sia quasi equamente distribuito tra i prescrittori aziendali e quelli delle altre Aziende sanitarie con un risparmio, generato dalle Azioni di appropriatezza farmaceutica messe in campo dalla nostra Azienda, pari a -13,8 milioni tra realizzazioni dei nostri specialisti e degli specialisti delle altre AA.SS. In mancanza di queste azioni di contenimento, l’incremento complessivo sarebbe stato decisamente più consistente (pari a +22milioni circa).  </w:t>
      </w:r>
    </w:p>
    <w:p>
      <w:pPr>
        <w:pStyle w:val="PlainText"/>
        <w:spacing w:lineRule="auto" w:line="360"/>
        <w:jc w:val="both"/>
        <w:rPr>
          <w:rFonts w:cs="Calibri"/>
          <w:szCs w:val="22"/>
          <w:lang w:eastAsia="it-IT"/>
        </w:rPr>
      </w:pPr>
      <w:r>
        <w:rPr>
          <w:rFonts w:cs="Calibri"/>
          <w:szCs w:val="22"/>
          <w:lang w:eastAsia="it-IT"/>
        </w:rPr>
        <w:t xml:space="preserve">Di seguito una tabella che sintetizza le Azioni di appropriatezza e i relativi risparmi complessivamente realizzati (tabella 39), su tutti i canali distributivi, ricadenti sulla nostra ASLTC e legati alle prescrizioni ai nostri residenti, sia da parte dei prescrittori aziendali che da parte dei prescrittori di altre Aziende, tabella estratta dalla relazione annuale sulla spesa farmaceutica del Dipartimento del Farmaco dell’ASL Toscana Centro. </w:t>
      </w:r>
    </w:p>
    <w:p>
      <w:pPr>
        <w:pStyle w:val="PlainText"/>
        <w:spacing w:lineRule="auto" w:line="360"/>
        <w:jc w:val="both"/>
        <w:rPr>
          <w:rFonts w:cs="Calibri"/>
          <w:szCs w:val="22"/>
          <w:lang w:eastAsia="it-IT"/>
        </w:rPr>
      </w:pPr>
      <w:r>
        <w:rPr>
          <w:rFonts w:cs="Calibri"/>
          <w:szCs w:val="22"/>
          <w:lang w:eastAsia="it-IT"/>
        </w:rPr>
      </w:r>
    </w:p>
    <w:p>
      <w:pPr>
        <w:pStyle w:val="PlainText"/>
        <w:spacing w:lineRule="auto" w:line="360"/>
        <w:jc w:val="both"/>
        <w:rPr>
          <w:rFonts w:cs="Calibri"/>
          <w:b/>
          <w:b/>
          <w:szCs w:val="22"/>
          <w:lang w:eastAsia="it-IT"/>
        </w:rPr>
      </w:pPr>
      <w:r>
        <w:rPr>
          <w:rFonts w:cs="Calibri"/>
          <w:b/>
          <w:szCs w:val="22"/>
          <w:lang w:eastAsia="it-IT"/>
        </w:rPr>
      </w:r>
    </w:p>
    <w:p>
      <w:pPr>
        <w:pStyle w:val="PlainText"/>
        <w:spacing w:lineRule="auto" w:line="360"/>
        <w:jc w:val="both"/>
        <w:rPr>
          <w:rFonts w:cs="Calibri"/>
          <w:b/>
          <w:b/>
          <w:szCs w:val="22"/>
          <w:lang w:eastAsia="it-IT"/>
        </w:rPr>
      </w:pPr>
      <w:r>
        <w:rPr>
          <w:rFonts w:cs="Calibri"/>
          <w:b/>
          <w:szCs w:val="22"/>
          <w:lang w:eastAsia="it-IT"/>
        </w:rPr>
      </w:r>
    </w:p>
    <w:p>
      <w:pPr>
        <w:pStyle w:val="PlainText"/>
        <w:spacing w:lineRule="auto" w:line="360"/>
        <w:jc w:val="both"/>
        <w:rPr>
          <w:rFonts w:cs="Calibri"/>
          <w:b/>
          <w:b/>
          <w:szCs w:val="22"/>
          <w:lang w:eastAsia="it-IT"/>
        </w:rPr>
      </w:pPr>
      <w:r>
        <w:rPr>
          <w:rFonts w:cs="Calibri"/>
          <w:b/>
          <w:szCs w:val="22"/>
          <w:lang w:eastAsia="it-IT"/>
        </w:rPr>
      </w:r>
    </w:p>
    <w:p>
      <w:pPr>
        <w:pStyle w:val="PlainText"/>
        <w:spacing w:lineRule="auto" w:line="360"/>
        <w:jc w:val="both"/>
        <w:rPr>
          <w:rFonts w:cs="Calibri"/>
          <w:b/>
          <w:b/>
          <w:szCs w:val="22"/>
          <w:lang w:eastAsia="it-IT"/>
        </w:rPr>
      </w:pPr>
      <w:r>
        <w:rPr>
          <w:rFonts w:cs="Calibri"/>
          <w:b/>
          <w:szCs w:val="22"/>
          <w:lang w:eastAsia="it-IT"/>
        </w:rPr>
      </w:r>
    </w:p>
    <w:p>
      <w:pPr>
        <w:pStyle w:val="PlainText"/>
        <w:spacing w:lineRule="auto" w:line="360"/>
        <w:jc w:val="both"/>
        <w:rPr>
          <w:rFonts w:cs="Calibri"/>
          <w:b/>
          <w:b/>
          <w:szCs w:val="22"/>
          <w:lang w:eastAsia="it-IT"/>
        </w:rPr>
      </w:pPr>
      <w:r>
        <w:rPr>
          <w:rFonts w:cs="Calibri"/>
          <w:b/>
          <w:szCs w:val="22"/>
          <w:lang w:eastAsia="it-IT"/>
        </w:rPr>
        <w:t>Tabella 39.  Azioni di appropriatezza e relativi risparmi, anno 2022</w:t>
      </w:r>
    </w:p>
    <w:p>
      <w:pPr>
        <w:pStyle w:val="PlainText"/>
        <w:spacing w:lineRule="auto" w:line="360"/>
        <w:jc w:val="both"/>
        <w:rPr>
          <w:rFonts w:cs="Calibri"/>
          <w:szCs w:val="22"/>
          <w:highlight w:val="yellow"/>
          <w:lang w:eastAsia="it-IT"/>
        </w:rPr>
      </w:pPr>
      <w:r>
        <w:rPr/>
        <w:drawing>
          <wp:inline distT="0" distB="0" distL="0" distR="0">
            <wp:extent cx="4999990" cy="6123940"/>
            <wp:effectExtent l="0" t="0" r="0" b="0"/>
            <wp:docPr id="58" name="Immagin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 43" descr=""/>
                    <pic:cNvPicPr>
                      <a:picLocks noChangeAspect="1" noChangeArrowheads="1"/>
                    </pic:cNvPicPr>
                  </pic:nvPicPr>
                  <pic:blipFill>
                    <a:blip r:embed="rId56"/>
                    <a:stretch>
                      <a:fillRect/>
                    </a:stretch>
                  </pic:blipFill>
                  <pic:spPr bwMode="auto">
                    <a:xfrm>
                      <a:off x="0" y="0"/>
                      <a:ext cx="4999990" cy="6123940"/>
                    </a:xfrm>
                    <a:prstGeom prst="rect">
                      <a:avLst/>
                    </a:prstGeom>
                  </pic:spPr>
                </pic:pic>
              </a:graphicData>
            </a:graphic>
          </wp:inline>
        </w:drawing>
      </w:r>
    </w:p>
    <w:p>
      <w:pPr>
        <w:pStyle w:val="Default"/>
        <w:spacing w:before="0" w:after="40"/>
        <w:rPr>
          <w:sz w:val="22"/>
          <w:szCs w:val="22"/>
          <w:highlight w:val="yellow"/>
        </w:rPr>
      </w:pPr>
      <w:r>
        <w:rPr>
          <w:sz w:val="22"/>
          <w:szCs w:val="22"/>
          <w:highlight w:val="yellow"/>
        </w:rPr>
      </w:r>
    </w:p>
    <w:p>
      <w:pPr>
        <w:pStyle w:val="Normal"/>
        <w:spacing w:lineRule="auto" w:line="360" w:before="0" w:after="200"/>
        <w:jc w:val="both"/>
        <w:rPr>
          <w:rFonts w:ascii="Calibri" w:hAnsi="Calibri" w:cs="Calibri"/>
          <w:sz w:val="22"/>
          <w:szCs w:val="22"/>
          <w:lang w:eastAsia="en-US"/>
        </w:rPr>
      </w:pPr>
      <w:r>
        <w:rPr>
          <w:rFonts w:cs="Calibri" w:ascii="Calibri" w:hAnsi="Calibri"/>
          <w:sz w:val="22"/>
          <w:szCs w:val="22"/>
          <w:lang w:eastAsia="en-US"/>
        </w:rPr>
        <w:t xml:space="preserve">I risultati aziendali in merito alla spesa per gli </w:t>
      </w:r>
      <w:r>
        <w:rPr>
          <w:rFonts w:cs="Calibri" w:ascii="Calibri" w:hAnsi="Calibri"/>
          <w:b/>
          <w:sz w:val="22"/>
          <w:szCs w:val="22"/>
          <w:lang w:eastAsia="en-US"/>
        </w:rPr>
        <w:t>altri beni di consumo sanitari</w:t>
      </w:r>
      <w:r>
        <w:rPr>
          <w:rFonts w:cs="Calibri" w:ascii="Calibri" w:hAnsi="Calibri"/>
          <w:sz w:val="22"/>
          <w:szCs w:val="22"/>
          <w:lang w:eastAsia="en-US"/>
        </w:rPr>
        <w:t xml:space="preserve"> sono espressi dai dati della tabella seguente (Tabella 40) estratti dai bilanci consuntivi.</w:t>
      </w:r>
    </w:p>
    <w:p>
      <w:pPr>
        <w:pStyle w:val="Normal"/>
        <w:spacing w:lineRule="auto" w:line="360" w:before="0" w:after="200"/>
        <w:jc w:val="both"/>
        <w:rPr>
          <w:rFonts w:ascii="Calibri" w:hAnsi="Calibri" w:cs="Calibri"/>
          <w:b/>
          <w:b/>
          <w:sz w:val="22"/>
          <w:szCs w:val="22"/>
          <w:lang w:eastAsia="en-US"/>
        </w:rPr>
      </w:pPr>
      <w:r>
        <w:rPr>
          <w:rFonts w:cs="Calibri" w:ascii="Calibri" w:hAnsi="Calibri"/>
          <w:b/>
          <w:sz w:val="22"/>
          <w:szCs w:val="22"/>
          <w:lang w:eastAsia="en-US"/>
        </w:rPr>
      </w:r>
    </w:p>
    <w:p>
      <w:pPr>
        <w:pStyle w:val="Normal"/>
        <w:spacing w:lineRule="auto" w:line="360" w:before="0" w:after="200"/>
        <w:jc w:val="both"/>
        <w:rPr>
          <w:rFonts w:ascii="Calibri" w:hAnsi="Calibri" w:cs="Calibri"/>
          <w:b/>
          <w:b/>
          <w:sz w:val="22"/>
          <w:szCs w:val="22"/>
          <w:lang w:eastAsia="en-US"/>
        </w:rPr>
      </w:pPr>
      <w:r>
        <w:rPr>
          <w:rFonts w:cs="Calibri" w:ascii="Calibri" w:hAnsi="Calibri"/>
          <w:b/>
          <w:sz w:val="22"/>
          <w:szCs w:val="22"/>
          <w:lang w:eastAsia="en-US"/>
        </w:rPr>
      </w:r>
    </w:p>
    <w:p>
      <w:pPr>
        <w:pStyle w:val="Normal"/>
        <w:spacing w:lineRule="auto" w:line="360" w:before="0" w:after="200"/>
        <w:jc w:val="both"/>
        <w:rPr>
          <w:rFonts w:ascii="Calibri" w:hAnsi="Calibri" w:cs="Calibri"/>
          <w:b/>
          <w:b/>
          <w:sz w:val="22"/>
          <w:szCs w:val="22"/>
          <w:lang w:eastAsia="en-US"/>
        </w:rPr>
      </w:pPr>
      <w:r>
        <w:rPr>
          <w:rFonts w:cs="Calibri" w:ascii="Calibri" w:hAnsi="Calibri"/>
          <w:b/>
          <w:sz w:val="22"/>
          <w:szCs w:val="22"/>
          <w:lang w:eastAsia="en-US"/>
        </w:rPr>
        <w:t>Tabella 40: Dispositivi e altri consumi sanitari - Spesa complessiva per conto-  anni 2019/2021/2022</w:t>
      </w:r>
    </w:p>
    <w:p>
      <w:pPr>
        <w:pStyle w:val="Normal"/>
        <w:spacing w:lineRule="auto" w:line="360" w:before="0" w:after="200"/>
        <w:jc w:val="both"/>
        <w:rPr>
          <w:rFonts w:ascii="Calibri" w:hAnsi="Calibri" w:cs="Calibri"/>
          <w:sz w:val="22"/>
          <w:szCs w:val="22"/>
          <w:lang w:eastAsia="en-US"/>
        </w:rPr>
      </w:pPr>
      <w:r>
        <w:rPr/>
        <w:drawing>
          <wp:inline distT="0" distB="0" distL="0" distR="0">
            <wp:extent cx="6120130" cy="4251960"/>
            <wp:effectExtent l="0" t="0" r="0" b="0"/>
            <wp:docPr id="59" name="Immagin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 57" descr=""/>
                    <pic:cNvPicPr>
                      <a:picLocks noChangeAspect="1" noChangeArrowheads="1"/>
                    </pic:cNvPicPr>
                  </pic:nvPicPr>
                  <pic:blipFill>
                    <a:blip r:embed="rId57"/>
                    <a:stretch>
                      <a:fillRect/>
                    </a:stretch>
                  </pic:blipFill>
                  <pic:spPr bwMode="auto">
                    <a:xfrm>
                      <a:off x="0" y="0"/>
                      <a:ext cx="6120130" cy="4251960"/>
                    </a:xfrm>
                    <a:prstGeom prst="rect">
                      <a:avLst/>
                    </a:prstGeom>
                  </pic:spPr>
                </pic:pic>
              </a:graphicData>
            </a:graphic>
          </wp:inline>
        </w:drawing>
      </w:r>
    </w:p>
    <w:p>
      <w:pPr>
        <w:pStyle w:val="Normal"/>
        <w:spacing w:lineRule="auto" w:line="360" w:before="0" w:after="200"/>
        <w:jc w:val="both"/>
        <w:rPr>
          <w:rFonts w:ascii="Calibri" w:hAnsi="Calibri" w:cs="Calibri"/>
          <w:sz w:val="22"/>
          <w:szCs w:val="22"/>
          <w:lang w:eastAsia="en-US"/>
        </w:rPr>
      </w:pPr>
      <w:r>
        <w:rPr>
          <w:rFonts w:cs="Calibri" w:ascii="Calibri" w:hAnsi="Calibri"/>
          <w:sz w:val="22"/>
          <w:szCs w:val="22"/>
          <w:lang w:eastAsia="en-US"/>
        </w:rPr>
      </w:r>
    </w:p>
    <w:p>
      <w:pPr>
        <w:pStyle w:val="Normal"/>
        <w:spacing w:lineRule="auto" w:line="360" w:before="0" w:after="200"/>
        <w:jc w:val="both"/>
        <w:rPr>
          <w:rFonts w:ascii="Calibri" w:hAnsi="Calibri" w:cs="Calibri"/>
          <w:sz w:val="22"/>
          <w:szCs w:val="22"/>
          <w:lang w:eastAsia="en-US"/>
        </w:rPr>
      </w:pPr>
      <w:r>
        <w:rPr>
          <w:rFonts w:cs="Calibri" w:ascii="Calibri" w:hAnsi="Calibri"/>
          <w:sz w:val="22"/>
          <w:szCs w:val="22"/>
          <w:lang w:eastAsia="en-US"/>
        </w:rPr>
        <w:t xml:space="preserve">L’andamento della spesa per dispositivi e altri consumi sanitari al netto di vaccini, Dispositivi di Protezione Individuale (DPI) e diagnostici in vitro (costi per i quali il persistere della pandemia da SarsCov19 ha reso impossibile il loro inserimento, già nelle linee guida regionali per la compilazione del Bilancio di Previsione, tra le voci di spesa il cui obiettivo era il non superamento della spesa sostenuta nell’anno 2019) dimostra uno scostamento, rispetto all’anno 2019 (anno inserito come tetto di riferimento per la spesa 2022) del </w:t>
      </w:r>
      <w:r>
        <w:rPr>
          <w:rFonts w:cs="Calibri" w:ascii="Calibri" w:hAnsi="Calibri"/>
          <w:b/>
          <w:sz w:val="22"/>
          <w:szCs w:val="22"/>
          <w:lang w:eastAsia="en-US"/>
        </w:rPr>
        <w:t>+8,6%  ed una riduzione di circa l’1% rispetto l’anno precedente</w:t>
      </w:r>
      <w:r>
        <w:rPr>
          <w:rFonts w:cs="Calibri" w:ascii="Calibri" w:hAnsi="Calibri"/>
          <w:sz w:val="22"/>
          <w:szCs w:val="22"/>
          <w:lang w:eastAsia="en-US"/>
        </w:rPr>
        <w:t>. Tale incremento rispetto all’obiettivo regionale di non superamento della spesa 2019, non giustificato dalla produzione complessiva di ricovero (n° ricoveri, n° giornate, n° interventi) ma parzialmente sostenuto dalla produzione specialistica e diagnostica (che ha visto un incremento nel numero di prestazioni del +4,3% rispetto quanto prodotto nel 2019) viene collegato da un lato ad una produzione chirurgica più complessa anche se numericamente inferiore, con interventi aventi peso medio più alto che hanno assorbito maggiori e/o più costose risorse e dall’altro  all’incremento del prezzo medio (soprattutto per i dispositivi chirurgici ed impiantabili/materiale protesico) dovuto ai maggiori costi  delle materie prime, effetto del caro energia</w:t>
      </w:r>
      <w:r>
        <w:rPr>
          <w:rFonts w:cs="Arial" w:ascii="Calibri" w:hAnsi="Calibri"/>
          <w:sz w:val="22"/>
          <w:szCs w:val="22"/>
        </w:rPr>
        <w:t xml:space="preserve"> . A ciò si aggiunge anche il fenomeno ancora presente prevalentemente nella prima metà dell’anno dei ricoveri per CoViD-19 che ha contribuito all’incremento, rispetto al 2019, dei costi dei dispositivi </w:t>
      </w:r>
      <w:r>
        <w:rPr>
          <w:rFonts w:cs="Calibri" w:ascii="Calibri" w:hAnsi="Calibri"/>
          <w:sz w:val="22"/>
          <w:szCs w:val="22"/>
          <w:lang w:eastAsia="en-US"/>
        </w:rPr>
        <w:t xml:space="preserve">(3B010109). Se utilizzassimo la fonte degli scarichi per escludere i consumi riconducibili ai ricoveri Covid, noteremmo come la situazione di alcuni conti, come i Dispositivi medici (3B010109), si riequilibrerebbe registrando un andamento economico perfettamente in linea rispetto al 2019. </w:t>
      </w:r>
    </w:p>
    <w:p>
      <w:pPr>
        <w:pStyle w:val="Normal"/>
        <w:spacing w:lineRule="auto" w:line="360" w:before="0" w:after="200"/>
        <w:jc w:val="both"/>
        <w:rPr>
          <w:rFonts w:ascii="Calibri" w:hAnsi="Calibri" w:cs="Calibri"/>
          <w:sz w:val="22"/>
          <w:szCs w:val="22"/>
        </w:rPr>
      </w:pPr>
      <w:r>
        <w:rPr>
          <w:rFonts w:cs="Calibri" w:ascii="Calibri" w:hAnsi="Calibri"/>
          <w:sz w:val="22"/>
          <w:szCs w:val="22"/>
        </w:rPr>
        <w:t>Per l’anno 2022 la Regione non ha richiesto, a differenza dei due anni precedenti, la compilazione dell’allegato B, relativo ai costi e ricavi per il Covid; d’altronde anche tutti gli obiettivi aziendali sono stati assegnati ai conti nel loro complesso quindi al lordo degli eventuali impatti per il Covid, non più sterilizzati né sterilizzabili dagli andamenti economici dell’Asl ma considerati parte integrante di questi. L’Azienda ha quindi dovuto fare i conti e sostenere l’impatto economico sul bilancio di una pandemia ancora presente, sebbene in decrescita potenziale.</w:t>
      </w:r>
    </w:p>
    <w:p>
      <w:pPr>
        <w:pStyle w:val="Normal"/>
        <w:spacing w:lineRule="auto" w:line="360" w:before="0" w:after="200"/>
        <w:jc w:val="both"/>
        <w:rPr>
          <w:rFonts w:ascii="Calibri" w:hAnsi="Calibri" w:cs="Calibri"/>
          <w:b/>
          <w:b/>
          <w:sz w:val="22"/>
          <w:szCs w:val="22"/>
        </w:rPr>
      </w:pPr>
      <w:r>
        <w:rPr>
          <w:rFonts w:cs="Calibri" w:ascii="Calibri" w:hAnsi="Calibri"/>
          <w:b/>
          <w:sz w:val="22"/>
          <w:szCs w:val="22"/>
        </w:rPr>
        <w:t>B) LIVELLO INDIVIDUALE (Centro di Responsabilità)</w:t>
      </w:r>
    </w:p>
    <w:p>
      <w:pPr>
        <w:pStyle w:val="Normal"/>
        <w:spacing w:lineRule="auto" w:line="360" w:before="0" w:after="200"/>
        <w:jc w:val="both"/>
        <w:rPr>
          <w:rFonts w:ascii="Calibri" w:hAnsi="Calibri" w:cs="Calibri" w:asciiTheme="minorHAnsi" w:cstheme="minorHAnsi" w:hAnsiTheme="minorHAnsi"/>
          <w:color w:val="000000"/>
        </w:rPr>
      </w:pPr>
      <w:r>
        <w:rPr>
          <w:rFonts w:cs="Calibri" w:ascii="Calibri" w:hAnsi="Calibri" w:asciiTheme="minorHAnsi" w:cstheme="minorHAnsi" w:hAnsiTheme="minorHAnsi"/>
          <w:color w:val="000000"/>
        </w:rPr>
        <w:t>A livello di singola struttura organizzativa, la valutazione degli obiettivi economici è avvenuta in due tappe distinte e separate, come da consuetudine aziendale:</w:t>
      </w:r>
    </w:p>
    <w:p>
      <w:pPr>
        <w:pStyle w:val="ListParagraph"/>
        <w:numPr>
          <w:ilvl w:val="0"/>
          <w:numId w:val="19"/>
        </w:numPr>
        <w:pBdr/>
        <w:suppressAutoHyphens w:val="false"/>
        <w:spacing w:lineRule="auto" w:line="360" w:before="0" w:after="200"/>
        <w:ind w:left="656" w:hanging="0"/>
        <w:jc w:val="both"/>
        <w:rPr>
          <w:rFonts w:ascii="Calibri" w:hAnsi="Calibri" w:cs="Calibri" w:asciiTheme="minorHAnsi" w:cstheme="minorHAnsi" w:hAnsiTheme="minorHAnsi"/>
          <w:color w:val="000000"/>
        </w:rPr>
      </w:pPr>
      <w:r>
        <w:rPr>
          <w:rFonts w:cs="Calibri" w:ascii="Calibri" w:hAnsi="Calibri" w:asciiTheme="minorHAnsi" w:cstheme="minorHAnsi" w:hAnsiTheme="minorHAnsi"/>
          <w:color w:val="000000"/>
        </w:rPr>
        <w:t>in prima istanza, sono stati elaborati i dati della Contabilità Analitica (la principale fonte dei dati inseriti nelle schede budget) per struttura organizzativa (SOC, SOSd, SOS, UF, Area, Dipartimento) e sono stati inseriti i dati della lettura ottica forniti dalla SOC Governance farmaceutica, individuando lo scostamento puro dall’obiettivo. Per le articolazioni territoriali si è altresì tenuto conto, per i costi diversi dai consumi, delle variazioni compensative che in corso di anno sono state realizzate dai consegnatari della spesa tra un conto e un altro, tra una struttura e un’altra all’interno delle autorizzazioni di spesa assegnate a livello zonale sulla base del Bilancio di Previsione come anche degli eventuali extrabudget richiesti ed autorizzati dalla Direzione. Per i consumi delle strutture ospedaliere, gli sforamenti dall’obiettivo di spesa assegnato sono stati confrontati – come consuetudine - con i rispettivi andamenti di attività  onde verificare l’esistenza di una correlazione tra incrementi dei costi e  incremento della produzione  tali da giustificare lo sforamento realizzato e quindi il livello di raggiungimento dell’obiettivo.</w:t>
      </w:r>
    </w:p>
    <w:p>
      <w:pPr>
        <w:pStyle w:val="ListParagraph"/>
        <w:pBdr/>
        <w:suppressAutoHyphens w:val="false"/>
        <w:spacing w:lineRule="auto" w:line="360" w:before="0" w:after="200"/>
        <w:ind w:left="218" w:hanging="0"/>
        <w:jc w:val="both"/>
        <w:rPr>
          <w:rFonts w:ascii="Calibri" w:hAnsi="Calibri" w:cs="Calibri" w:asciiTheme="minorHAnsi" w:cstheme="minorHAnsi" w:hAnsiTheme="minorHAnsi"/>
          <w:color w:val="000000"/>
        </w:rPr>
      </w:pPr>
      <w:r>
        <w:rPr>
          <w:rFonts w:cs="Calibri" w:ascii="Calibri" w:hAnsi="Calibri" w:asciiTheme="minorHAnsi" w:cstheme="minorHAnsi" w:hAnsiTheme="minorHAnsi"/>
          <w:color w:val="000000"/>
        </w:rPr>
        <w:t>Inoltre, per queste strutture sono state valutate le azioni di appropriatezza farmaceutica il cui raggiungimento o mancata realizzazione ha inciso con un incremento o decremento di un punto percentuale per singola azione di appropriatezza così come fatto negli esercizi precedenti;</w:t>
      </w:r>
    </w:p>
    <w:p>
      <w:pPr>
        <w:pStyle w:val="ListParagraph"/>
        <w:pBdr/>
        <w:suppressAutoHyphens w:val="false"/>
        <w:spacing w:lineRule="auto" w:line="360" w:before="0" w:after="200"/>
        <w:ind w:left="218" w:hanging="0"/>
        <w:jc w:val="both"/>
        <w:rPr>
          <w:rFonts w:ascii="Calibri" w:hAnsi="Calibri" w:cs="Calibri" w:asciiTheme="minorHAnsi" w:cstheme="minorHAnsi" w:hAnsiTheme="minorHAnsi"/>
          <w:color w:val="000000"/>
        </w:rPr>
      </w:pPr>
      <w:r>
        <w:rPr>
          <w:rFonts w:cs="Calibri" w:cstheme="minorHAnsi" w:ascii="Calibri" w:hAnsi="Calibri"/>
          <w:color w:val="000000"/>
        </w:rPr>
      </w:r>
    </w:p>
    <w:p>
      <w:pPr>
        <w:pStyle w:val="ListParagraph"/>
        <w:numPr>
          <w:ilvl w:val="0"/>
          <w:numId w:val="19"/>
        </w:numPr>
        <w:pBdr/>
        <w:suppressAutoHyphens w:val="false"/>
        <w:spacing w:lineRule="auto" w:line="360" w:before="0" w:after="200"/>
        <w:jc w:val="both"/>
        <w:rPr>
          <w:rFonts w:ascii="Calibri" w:hAnsi="Calibri" w:cs="Calibri" w:asciiTheme="minorHAnsi" w:cstheme="minorHAnsi" w:hAnsiTheme="minorHAnsi"/>
          <w:color w:val="000000"/>
        </w:rPr>
      </w:pPr>
      <w:r>
        <w:rPr>
          <w:rFonts w:cs="Calibri" w:ascii="Calibri" w:hAnsi="Calibri" w:asciiTheme="minorHAnsi" w:cstheme="minorHAnsi" w:hAnsiTheme="minorHAnsi"/>
          <w:color w:val="000000"/>
        </w:rPr>
        <w:t xml:space="preserve">in seconda istanza, sono state valutate le controdeduzioni presentate dai Direttori di struttura (accogliendo o meno le motivazioni agli scostamenti sulla base di giustificazioni tecnico contabili oppure clinico sanitario o farmaceutico, valutate rispettivamente dal Controllo di Gestione, dalla Direzione Sanitaria o dalla SOC Appropriatezza farmaceutica), le cui decisioni hanno influito sulla rideterminazione dei risultati raggiunti in prima istanza. </w:t>
      </w:r>
    </w:p>
    <w:p>
      <w:pPr>
        <w:pStyle w:val="Normal"/>
        <w:spacing w:lineRule="auto" w:line="360" w:before="0" w:after="200"/>
        <w:jc w:val="both"/>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La fase conclusiva del processo di Budget consistente nella verifica del grado di raggiungimento degli obiettivi assegnati è stata condotta, in continuità a quanto fatto per la valutazione del Budget anni 2016-2021, seguendo la metodologia utilizzata negli anni precedenti dalla ex Asl 10 di Firenze, ed attualmente sancita in modo ufficiale nel regolamento aziendale adottato con delibera DG n. 954 del 27 luglio 2023 e basata sulle seguenti regole generali:</w:t>
      </w:r>
    </w:p>
    <w:p>
      <w:pPr>
        <w:pStyle w:val="Normal"/>
        <w:numPr>
          <w:ilvl w:val="0"/>
          <w:numId w:val="20"/>
        </w:numPr>
        <w:pBdr/>
        <w:spacing w:lineRule="auto" w:line="360" w:before="0" w:after="200"/>
        <w:ind w:left="0" w:hanging="0"/>
        <w:jc w:val="both"/>
        <w:rPr>
          <w:rFonts w:ascii="Calibri" w:hAnsi="Calibri" w:cs="Calibri" w:asciiTheme="minorHAnsi" w:cstheme="minorHAnsi" w:hAnsiTheme="minorHAnsi"/>
          <w:color w:val="000000"/>
        </w:rPr>
      </w:pPr>
      <w:r>
        <w:rPr>
          <w:rFonts w:cs="Calibri" w:ascii="Calibri" w:hAnsi="Calibri" w:asciiTheme="minorHAnsi" w:cstheme="minorHAnsi" w:hAnsiTheme="minorHAnsi"/>
          <w:color w:val="000000"/>
        </w:rPr>
        <w:t>il raggiungimento o superamento dell’obiettivo assegnato alle singole strutture, comporta l’attribuzione dell’intero punteggio disponibile;</w:t>
      </w:r>
    </w:p>
    <w:p>
      <w:pPr>
        <w:pStyle w:val="Normal"/>
        <w:numPr>
          <w:ilvl w:val="0"/>
          <w:numId w:val="20"/>
        </w:numPr>
        <w:pBdr/>
        <w:spacing w:lineRule="auto" w:line="360" w:before="0" w:after="200"/>
        <w:ind w:left="0" w:hanging="0"/>
        <w:jc w:val="both"/>
        <w:rPr>
          <w:rFonts w:ascii="Calibri" w:hAnsi="Calibri" w:cs="Calibri" w:asciiTheme="minorHAnsi" w:cstheme="minorHAnsi" w:hAnsiTheme="minorHAnsi"/>
          <w:color w:val="000000"/>
        </w:rPr>
      </w:pPr>
      <w:r>
        <w:rPr>
          <w:rFonts w:cs="Calibri" w:ascii="Calibri" w:hAnsi="Calibri" w:asciiTheme="minorHAnsi" w:cstheme="minorHAnsi" w:hAnsiTheme="minorHAnsi"/>
          <w:color w:val="000000"/>
        </w:rPr>
        <w:t>alle Strutture che presentano sbudgettamento (quindi sforamento del budget assegnato) viene attribuita la percentuale di scostamento della SOC o dell'Area di appartenenza, se il suo sforamento è maggiore di quello della struttura complessa o dell'Area gerarchicamente sovraordinata; nel caso invece sia inferiore, viene mantenuta la propria percentuale. Le percentuali vengono poi arrotondate per eccesso o difetto di 0,50 (“regola garantista”).</w:t>
      </w:r>
    </w:p>
    <w:p>
      <w:pPr>
        <w:pStyle w:val="Normal"/>
        <w:spacing w:lineRule="auto" w:line="360" w:before="0" w:after="200"/>
        <w:jc w:val="both"/>
        <w:rPr>
          <w:rFonts w:ascii="Calibri" w:hAnsi="Calibri" w:cs="Calibri" w:asciiTheme="minorHAnsi" w:cstheme="minorHAnsi" w:hAnsiTheme="minorHAnsi"/>
          <w:color w:val="000000"/>
        </w:rPr>
      </w:pPr>
      <w:r>
        <w:rPr>
          <w:rFonts w:cs="Calibri" w:ascii="Calibri" w:hAnsi="Calibri" w:asciiTheme="minorHAnsi" w:cstheme="minorHAnsi" w:hAnsiTheme="minorHAnsi"/>
          <w:color w:val="000000"/>
        </w:rPr>
        <w:t>Tale impostazione è in linea con la natura e la finalità stessa dell’Area che rappresenta il livello ottimale di gestione delle risorse economiche, comprendendo strutture organizzative e specialità omogenee al suo interno, tali da giustificare l'eventuale ed auspicabile – in caso di necessità - trasferimento di risorse.</w:t>
      </w:r>
    </w:p>
    <w:p>
      <w:pPr>
        <w:pStyle w:val="Normal"/>
        <w:spacing w:lineRule="auto" w:line="360" w:before="0" w:after="200"/>
        <w:jc w:val="both"/>
        <w:rPr>
          <w:rFonts w:ascii="Calibri" w:hAnsi="Calibri" w:cs="Calibri" w:asciiTheme="minorHAnsi" w:cstheme="minorHAnsi" w:hAnsiTheme="minorHAnsi"/>
          <w:color w:val="000000"/>
        </w:rPr>
      </w:pPr>
      <w:r>
        <w:rPr>
          <w:rFonts w:cs="Calibri" w:ascii="Calibri" w:hAnsi="Calibri" w:asciiTheme="minorHAnsi" w:cstheme="minorHAnsi" w:hAnsiTheme="minorHAnsi"/>
          <w:color w:val="000000"/>
        </w:rPr>
        <w:t>Infine, per quanto riguarda le strutture territoriali, è stata realizzata una indispensabile operazione di quadratura dei conti di Bilancio aziendale con le risultanze della Contabilità Analitica relativamente alle seguenti voci di spesa: rette, appalti e contributi.  Tale positivo riscontro rappresenta dunque garanzia di inclusione di tutti i costi aziendali per tipologia trattata.</w:t>
      </w:r>
    </w:p>
    <w:p>
      <w:pPr>
        <w:pStyle w:val="Normal"/>
        <w:spacing w:lineRule="auto" w:line="360" w:before="0" w:after="200"/>
        <w:jc w:val="both"/>
        <w:rPr>
          <w:rFonts w:ascii="Calibri" w:hAnsi="Calibri" w:cs="Calibri" w:asciiTheme="minorHAnsi" w:cstheme="minorHAnsi" w:hAnsiTheme="minorHAnsi"/>
          <w:color w:val="000000"/>
        </w:rPr>
      </w:pPr>
      <w:r>
        <w:rPr>
          <w:rFonts w:cs="Calibri" w:ascii="Calibri" w:hAnsi="Calibri" w:asciiTheme="minorHAnsi" w:cstheme="minorHAnsi" w:hAnsiTheme="minorHAnsi"/>
          <w:color w:val="000000"/>
        </w:rPr>
        <w:t>A seguire sono riportati i risultati delle valutazioni di tutte le strutture organizzative aziendali con indicazione della percentuale di raggiungimento degli obiettivi economici e della tipologia di scheda budget assegnata (standard; piano di rientro; equilibrio economico gen).</w:t>
      </w:r>
    </w:p>
    <w:p>
      <w:pPr>
        <w:pStyle w:val="Corpodeltesto"/>
        <w:rPr>
          <w:rFonts w:ascii="Calibri" w:hAnsi="Calibri" w:cs="Calibri"/>
          <w:b/>
          <w:b/>
          <w:sz w:val="22"/>
          <w:szCs w:val="22"/>
        </w:rPr>
      </w:pPr>
      <w:r>
        <w:rPr>
          <w:rFonts w:cs="Calibri" w:ascii="Calibri" w:hAnsi="Calibri"/>
          <w:b/>
          <w:sz w:val="22"/>
          <w:szCs w:val="22"/>
        </w:rPr>
      </w:r>
    </w:p>
    <w:p>
      <w:pPr>
        <w:pStyle w:val="Corpodeltesto"/>
        <w:rPr>
          <w:rFonts w:ascii="Calibri" w:hAnsi="Calibri" w:cs="Calibri"/>
          <w:b/>
          <w:b/>
          <w:sz w:val="22"/>
          <w:szCs w:val="22"/>
        </w:rPr>
      </w:pPr>
      <w:r>
        <w:rPr>
          <w:rFonts w:cs="Calibri" w:ascii="Calibri" w:hAnsi="Calibri"/>
          <w:b/>
          <w:sz w:val="22"/>
          <w:szCs w:val="22"/>
        </w:rPr>
      </w:r>
    </w:p>
    <w:p>
      <w:pPr>
        <w:pStyle w:val="Corpodeltesto"/>
        <w:rPr>
          <w:rFonts w:ascii="Calibri" w:hAnsi="Calibri" w:cs="Calibri"/>
          <w:b/>
          <w:b/>
          <w:sz w:val="22"/>
          <w:szCs w:val="22"/>
        </w:rPr>
      </w:pPr>
      <w:r>
        <w:rPr>
          <w:rFonts w:cs="Calibri" w:ascii="Calibri" w:hAnsi="Calibri"/>
          <w:b/>
          <w:sz w:val="22"/>
          <w:szCs w:val="22"/>
        </w:rPr>
      </w:r>
    </w:p>
    <w:p>
      <w:pPr>
        <w:pStyle w:val="Corpodeltesto"/>
        <w:rPr>
          <w:rFonts w:ascii="Calibri" w:hAnsi="Calibri" w:cs="Calibri"/>
          <w:b/>
          <w:b/>
          <w:sz w:val="22"/>
          <w:szCs w:val="22"/>
        </w:rPr>
      </w:pPr>
      <w:r>
        <w:rPr>
          <w:rFonts w:cs="Calibri" w:ascii="Calibri" w:hAnsi="Calibri"/>
          <w:b/>
          <w:sz w:val="22"/>
          <w:szCs w:val="22"/>
        </w:rPr>
      </w:r>
    </w:p>
    <w:p>
      <w:pPr>
        <w:pStyle w:val="Corpodeltesto"/>
        <w:rPr>
          <w:rFonts w:ascii="Calibri" w:hAnsi="Calibri" w:cs="Calibri"/>
          <w:b/>
          <w:b/>
          <w:sz w:val="22"/>
          <w:szCs w:val="22"/>
        </w:rPr>
      </w:pPr>
      <w:r>
        <w:rPr>
          <w:rFonts w:cs="Calibri" w:ascii="Calibri" w:hAnsi="Calibri"/>
          <w:b/>
          <w:sz w:val="22"/>
          <w:szCs w:val="22"/>
        </w:rPr>
        <w:t>Tabella 41 – Risultati valutazioni schede economiche 2022</w:t>
      </w:r>
    </w:p>
    <w:p>
      <w:pPr>
        <w:pStyle w:val="Corpodeltesto"/>
        <w:rPr>
          <w:rFonts w:ascii="Calibri" w:hAnsi="Calibri" w:cs="Calibri"/>
          <w:sz w:val="22"/>
          <w:szCs w:val="22"/>
        </w:rPr>
      </w:pPr>
      <w:r>
        <w:rPr/>
        <w:drawing>
          <wp:inline distT="0" distB="0" distL="0" distR="0">
            <wp:extent cx="6120130" cy="7272655"/>
            <wp:effectExtent l="0" t="0" r="0" b="0"/>
            <wp:docPr id="60" name="Immagin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59" descr=""/>
                    <pic:cNvPicPr>
                      <a:picLocks noChangeAspect="1" noChangeArrowheads="1"/>
                    </pic:cNvPicPr>
                  </pic:nvPicPr>
                  <pic:blipFill>
                    <a:blip r:embed="rId58"/>
                    <a:stretch>
                      <a:fillRect/>
                    </a:stretch>
                  </pic:blipFill>
                  <pic:spPr bwMode="auto">
                    <a:xfrm>
                      <a:off x="0" y="0"/>
                      <a:ext cx="6120130" cy="7272655"/>
                    </a:xfrm>
                    <a:prstGeom prst="rect">
                      <a:avLst/>
                    </a:prstGeom>
                  </pic:spPr>
                </pic:pic>
              </a:graphicData>
            </a:graphic>
          </wp:inline>
        </w:drawing>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drawing>
          <wp:inline distT="0" distB="0" distL="0" distR="0">
            <wp:extent cx="6120130" cy="8525510"/>
            <wp:effectExtent l="0" t="0" r="0" b="0"/>
            <wp:docPr id="61" name="Immagin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magine 63" descr=""/>
                    <pic:cNvPicPr>
                      <a:picLocks noChangeAspect="1" noChangeArrowheads="1"/>
                    </pic:cNvPicPr>
                  </pic:nvPicPr>
                  <pic:blipFill>
                    <a:blip r:embed="rId59"/>
                    <a:stretch>
                      <a:fillRect/>
                    </a:stretch>
                  </pic:blipFill>
                  <pic:spPr bwMode="auto">
                    <a:xfrm>
                      <a:off x="0" y="0"/>
                      <a:ext cx="6120130" cy="8525510"/>
                    </a:xfrm>
                    <a:prstGeom prst="rect">
                      <a:avLst/>
                    </a:prstGeom>
                  </pic:spPr>
                </pic:pic>
              </a:graphicData>
            </a:graphic>
          </wp:inline>
        </w:drawing>
      </w:r>
    </w:p>
    <w:p>
      <w:pPr>
        <w:pStyle w:val="Corpodeltesto"/>
        <w:rPr>
          <w:rFonts w:ascii="Calibri" w:hAnsi="Calibri" w:cs="Calibri"/>
          <w:sz w:val="22"/>
          <w:szCs w:val="22"/>
        </w:rPr>
      </w:pPr>
      <w:r>
        <w:rPr/>
        <w:drawing>
          <wp:inline distT="0" distB="0" distL="0" distR="0">
            <wp:extent cx="6120130" cy="4391025"/>
            <wp:effectExtent l="0" t="0" r="0" b="0"/>
            <wp:docPr id="62" name="Immagine 1367107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agine 1367107456" descr=""/>
                    <pic:cNvPicPr>
                      <a:picLocks noChangeAspect="1" noChangeArrowheads="1"/>
                    </pic:cNvPicPr>
                  </pic:nvPicPr>
                  <pic:blipFill>
                    <a:blip r:embed="rId60"/>
                    <a:stretch>
                      <a:fillRect/>
                    </a:stretch>
                  </pic:blipFill>
                  <pic:spPr bwMode="auto">
                    <a:xfrm>
                      <a:off x="0" y="0"/>
                      <a:ext cx="6120130" cy="4391025"/>
                    </a:xfrm>
                    <a:prstGeom prst="rect">
                      <a:avLst/>
                    </a:prstGeom>
                  </pic:spPr>
                </pic:pic>
              </a:graphicData>
            </a:graphic>
          </wp:inline>
        </w:drawing>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drawing>
          <wp:inline distT="0" distB="0" distL="0" distR="0">
            <wp:extent cx="6120130" cy="8776335"/>
            <wp:effectExtent l="0" t="0" r="0" b="0"/>
            <wp:docPr id="63" name="Immagine 1367107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 1367107457" descr=""/>
                    <pic:cNvPicPr>
                      <a:picLocks noChangeAspect="1" noChangeArrowheads="1"/>
                    </pic:cNvPicPr>
                  </pic:nvPicPr>
                  <pic:blipFill>
                    <a:blip r:embed="rId61"/>
                    <a:stretch>
                      <a:fillRect/>
                    </a:stretch>
                  </pic:blipFill>
                  <pic:spPr bwMode="auto">
                    <a:xfrm>
                      <a:off x="0" y="0"/>
                      <a:ext cx="6120130" cy="8776335"/>
                    </a:xfrm>
                    <a:prstGeom prst="rect">
                      <a:avLst/>
                    </a:prstGeom>
                  </pic:spPr>
                </pic:pic>
              </a:graphicData>
            </a:graphic>
          </wp:inline>
        </w:drawing>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drawing>
          <wp:inline distT="0" distB="0" distL="0" distR="0">
            <wp:extent cx="6120130" cy="5518785"/>
            <wp:effectExtent l="0" t="0" r="0" b="0"/>
            <wp:docPr id="64" name="Immagine 1367107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agine 1367107459" descr=""/>
                    <pic:cNvPicPr>
                      <a:picLocks noChangeAspect="1" noChangeArrowheads="1"/>
                    </pic:cNvPicPr>
                  </pic:nvPicPr>
                  <pic:blipFill>
                    <a:blip r:embed="rId62"/>
                    <a:stretch>
                      <a:fillRect/>
                    </a:stretch>
                  </pic:blipFill>
                  <pic:spPr bwMode="auto">
                    <a:xfrm>
                      <a:off x="0" y="0"/>
                      <a:ext cx="6120130" cy="5518785"/>
                    </a:xfrm>
                    <a:prstGeom prst="rect">
                      <a:avLst/>
                    </a:prstGeom>
                  </pic:spPr>
                </pic:pic>
              </a:graphicData>
            </a:graphic>
          </wp:inline>
        </w:drawing>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drawing>
          <wp:inline distT="0" distB="0" distL="0" distR="0">
            <wp:extent cx="6120130" cy="9402445"/>
            <wp:effectExtent l="0" t="0" r="0" b="0"/>
            <wp:docPr id="65" name="Immagine 1367107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magine 1367107460" descr=""/>
                    <pic:cNvPicPr>
                      <a:picLocks noChangeAspect="1" noChangeArrowheads="1"/>
                    </pic:cNvPicPr>
                  </pic:nvPicPr>
                  <pic:blipFill>
                    <a:blip r:embed="rId63"/>
                    <a:stretch>
                      <a:fillRect/>
                    </a:stretch>
                  </pic:blipFill>
                  <pic:spPr bwMode="auto">
                    <a:xfrm>
                      <a:off x="0" y="0"/>
                      <a:ext cx="6120130" cy="9402445"/>
                    </a:xfrm>
                    <a:prstGeom prst="rect">
                      <a:avLst/>
                    </a:prstGeom>
                  </pic:spPr>
                </pic:pic>
              </a:graphicData>
            </a:graphic>
          </wp:inline>
        </w:drawing>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drawing>
          <wp:inline distT="0" distB="0" distL="0" distR="0">
            <wp:extent cx="6120130" cy="6646545"/>
            <wp:effectExtent l="0" t="0" r="0" b="0"/>
            <wp:docPr id="66" name="Immagine 1367107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magine 1367107461" descr=""/>
                    <pic:cNvPicPr>
                      <a:picLocks noChangeAspect="1" noChangeArrowheads="1"/>
                    </pic:cNvPicPr>
                  </pic:nvPicPr>
                  <pic:blipFill>
                    <a:blip r:embed="rId64"/>
                    <a:stretch>
                      <a:fillRect/>
                    </a:stretch>
                  </pic:blipFill>
                  <pic:spPr bwMode="auto">
                    <a:xfrm>
                      <a:off x="0" y="0"/>
                      <a:ext cx="6120130" cy="6646545"/>
                    </a:xfrm>
                    <a:prstGeom prst="rect">
                      <a:avLst/>
                    </a:prstGeom>
                  </pic:spPr>
                </pic:pic>
              </a:graphicData>
            </a:graphic>
          </wp:inline>
        </w:drawing>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drawing>
          <wp:inline distT="0" distB="0" distL="0" distR="0">
            <wp:extent cx="6120130" cy="6144895"/>
            <wp:effectExtent l="0" t="0" r="0" b="0"/>
            <wp:docPr id="67" name="Immagine 1367107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magine 1367107462" descr=""/>
                    <pic:cNvPicPr>
                      <a:picLocks noChangeAspect="1" noChangeArrowheads="1"/>
                    </pic:cNvPicPr>
                  </pic:nvPicPr>
                  <pic:blipFill>
                    <a:blip r:embed="rId65"/>
                    <a:stretch>
                      <a:fillRect/>
                    </a:stretch>
                  </pic:blipFill>
                  <pic:spPr bwMode="auto">
                    <a:xfrm>
                      <a:off x="0" y="0"/>
                      <a:ext cx="6120130" cy="6144895"/>
                    </a:xfrm>
                    <a:prstGeom prst="rect">
                      <a:avLst/>
                    </a:prstGeom>
                  </pic:spPr>
                </pic:pic>
              </a:graphicData>
            </a:graphic>
          </wp:inline>
        </w:drawing>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drawing>
          <wp:inline distT="0" distB="0" distL="0" distR="0">
            <wp:extent cx="6120130" cy="6520815"/>
            <wp:effectExtent l="0" t="0" r="0" b="0"/>
            <wp:docPr id="68" name="Immagine 1367107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magine 1367107463" descr=""/>
                    <pic:cNvPicPr>
                      <a:picLocks noChangeAspect="1" noChangeArrowheads="1"/>
                    </pic:cNvPicPr>
                  </pic:nvPicPr>
                  <pic:blipFill>
                    <a:blip r:embed="rId66"/>
                    <a:stretch>
                      <a:fillRect/>
                    </a:stretch>
                  </pic:blipFill>
                  <pic:spPr bwMode="auto">
                    <a:xfrm>
                      <a:off x="0" y="0"/>
                      <a:ext cx="6120130" cy="6520815"/>
                    </a:xfrm>
                    <a:prstGeom prst="rect">
                      <a:avLst/>
                    </a:prstGeom>
                  </pic:spPr>
                </pic:pic>
              </a:graphicData>
            </a:graphic>
          </wp:inline>
        </w:drawing>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drawing>
          <wp:inline distT="0" distB="0" distL="0" distR="0">
            <wp:extent cx="6120130" cy="5142865"/>
            <wp:effectExtent l="0" t="0" r="0" b="0"/>
            <wp:docPr id="69" name="Immagine 13671074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agine 1367107464" descr=""/>
                    <pic:cNvPicPr>
                      <a:picLocks noChangeAspect="1" noChangeArrowheads="1"/>
                    </pic:cNvPicPr>
                  </pic:nvPicPr>
                  <pic:blipFill>
                    <a:blip r:embed="rId67"/>
                    <a:stretch>
                      <a:fillRect/>
                    </a:stretch>
                  </pic:blipFill>
                  <pic:spPr bwMode="auto">
                    <a:xfrm>
                      <a:off x="0" y="0"/>
                      <a:ext cx="6120130" cy="5142865"/>
                    </a:xfrm>
                    <a:prstGeom prst="rect">
                      <a:avLst/>
                    </a:prstGeom>
                  </pic:spPr>
                </pic:pic>
              </a:graphicData>
            </a:graphic>
          </wp:inline>
        </w:drawing>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drawing>
          <wp:inline distT="0" distB="0" distL="0" distR="0">
            <wp:extent cx="6120130" cy="8024495"/>
            <wp:effectExtent l="0" t="0" r="0" b="0"/>
            <wp:docPr id="70" name="Immagine 1367107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magine 1367107465" descr=""/>
                    <pic:cNvPicPr>
                      <a:picLocks noChangeAspect="1" noChangeArrowheads="1"/>
                    </pic:cNvPicPr>
                  </pic:nvPicPr>
                  <pic:blipFill>
                    <a:blip r:embed="rId68"/>
                    <a:stretch>
                      <a:fillRect/>
                    </a:stretch>
                  </pic:blipFill>
                  <pic:spPr bwMode="auto">
                    <a:xfrm>
                      <a:off x="0" y="0"/>
                      <a:ext cx="6120130" cy="8024495"/>
                    </a:xfrm>
                    <a:prstGeom prst="rect">
                      <a:avLst/>
                    </a:prstGeom>
                  </pic:spPr>
                </pic:pic>
              </a:graphicData>
            </a:graphic>
          </wp:inline>
        </w:drawing>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drawing>
          <wp:inline distT="0" distB="0" distL="0" distR="0">
            <wp:extent cx="6120130" cy="5017770"/>
            <wp:effectExtent l="0" t="0" r="0" b="0"/>
            <wp:docPr id="71" name="Immagine 1367107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magine 1367107466" descr=""/>
                    <pic:cNvPicPr>
                      <a:picLocks noChangeAspect="1" noChangeArrowheads="1"/>
                    </pic:cNvPicPr>
                  </pic:nvPicPr>
                  <pic:blipFill>
                    <a:blip r:embed="rId69"/>
                    <a:stretch>
                      <a:fillRect/>
                    </a:stretch>
                  </pic:blipFill>
                  <pic:spPr bwMode="auto">
                    <a:xfrm>
                      <a:off x="0" y="0"/>
                      <a:ext cx="6120130" cy="5017770"/>
                    </a:xfrm>
                    <a:prstGeom prst="rect">
                      <a:avLst/>
                    </a:prstGeom>
                  </pic:spPr>
                </pic:pic>
              </a:graphicData>
            </a:graphic>
          </wp:inline>
        </w:drawing>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rPr>
      </w:pPr>
      <w:r>
        <w:rPr>
          <w:rFonts w:cs="Calibri" w:ascii="Calibri" w:hAnsi="Calibri"/>
          <w:sz w:val="22"/>
          <w:szCs w:val="22"/>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drawing>
          <wp:inline distT="0" distB="0" distL="0" distR="0">
            <wp:extent cx="5701665" cy="8891905"/>
            <wp:effectExtent l="0" t="0" r="0" b="0"/>
            <wp:docPr id="72" name="Immagine 1320108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magine 132010818" descr=""/>
                    <pic:cNvPicPr>
                      <a:picLocks noChangeAspect="1" noChangeArrowheads="1"/>
                    </pic:cNvPicPr>
                  </pic:nvPicPr>
                  <pic:blipFill>
                    <a:blip r:embed="rId70"/>
                    <a:stretch>
                      <a:fillRect/>
                    </a:stretch>
                  </pic:blipFill>
                  <pic:spPr bwMode="auto">
                    <a:xfrm>
                      <a:off x="0" y="0"/>
                      <a:ext cx="5701665" cy="8891905"/>
                    </a:xfrm>
                    <a:prstGeom prst="rect">
                      <a:avLst/>
                    </a:prstGeom>
                  </pic:spPr>
                </pic:pic>
              </a:graphicData>
            </a:graphic>
          </wp:inline>
        </w:drawing>
      </w:r>
    </w:p>
    <w:p>
      <w:pPr>
        <w:pStyle w:val="Corpodeltesto"/>
        <w:rPr>
          <w:rFonts w:ascii="Calibri" w:hAnsi="Calibri" w:cs="Calibri"/>
          <w:sz w:val="22"/>
          <w:szCs w:val="22"/>
          <w:highlight w:val="yellow"/>
        </w:rPr>
      </w:pPr>
      <w:r>
        <w:rPr/>
        <w:drawing>
          <wp:inline distT="0" distB="0" distL="0" distR="0">
            <wp:extent cx="6120130" cy="5180330"/>
            <wp:effectExtent l="0" t="0" r="0" b="0"/>
            <wp:docPr id="73" name="Immagine 1320108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 132010819" descr=""/>
                    <pic:cNvPicPr>
                      <a:picLocks noChangeAspect="1" noChangeArrowheads="1"/>
                    </pic:cNvPicPr>
                  </pic:nvPicPr>
                  <pic:blipFill>
                    <a:blip r:embed="rId71"/>
                    <a:stretch>
                      <a:fillRect/>
                    </a:stretch>
                  </pic:blipFill>
                  <pic:spPr bwMode="auto">
                    <a:xfrm>
                      <a:off x="0" y="0"/>
                      <a:ext cx="6120130" cy="5180330"/>
                    </a:xfrm>
                    <a:prstGeom prst="rect">
                      <a:avLst/>
                    </a:prstGeom>
                  </pic:spPr>
                </pic:pic>
              </a:graphicData>
            </a:graphic>
          </wp:inline>
        </w:drawing>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Corpodeltesto"/>
        <w:rPr>
          <w:rFonts w:ascii="Calibri" w:hAnsi="Calibri" w:cs="Calibri"/>
          <w:sz w:val="22"/>
          <w:szCs w:val="22"/>
          <w:highlight w:val="yellow"/>
        </w:rPr>
      </w:pPr>
      <w:r>
        <w:rPr>
          <w:rFonts w:cs="Calibri" w:ascii="Calibri" w:hAnsi="Calibri"/>
          <w:sz w:val="22"/>
          <w:szCs w:val="22"/>
          <w:highlight w:val="yellow"/>
        </w:rPr>
      </w:r>
    </w:p>
    <w:p>
      <w:pPr>
        <w:pStyle w:val="Titoloprincipale"/>
        <w:numPr>
          <w:ilvl w:val="0"/>
          <w:numId w:val="1"/>
        </w:numPr>
        <w:spacing w:lineRule="atLeast" w:line="320" w:before="0" w:after="120"/>
        <w:ind w:left="0" w:hanging="0"/>
        <w:jc w:val="left"/>
        <w:rPr>
          <w:rFonts w:ascii="Calibri" w:hAnsi="Calibri" w:cs="Calibri"/>
          <w:sz w:val="28"/>
          <w:szCs w:val="28"/>
        </w:rPr>
      </w:pPr>
      <w:bookmarkStart w:id="54" w:name="_Toc152228365"/>
      <w:r>
        <w:rPr>
          <w:rFonts w:cs="Calibri" w:ascii="Calibri" w:hAnsi="Calibri"/>
          <w:sz w:val="28"/>
          <w:szCs w:val="28"/>
        </w:rPr>
        <w:t>RISULTATI DI VALUTAZIONE INDIVIDUALE</w:t>
      </w:r>
      <w:bookmarkEnd w:id="54"/>
    </w:p>
    <w:p>
      <w:pPr>
        <w:pStyle w:val="Normal"/>
        <w:ind w:right="-624" w:hanging="0"/>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La valutazione individuale dei dirigenti avviene applicando l’apposita scheda di </w:t>
      </w:r>
      <w:r>
        <w:rPr>
          <w:rFonts w:cs="Calibri" w:ascii="Calibri" w:hAnsi="Calibri" w:asciiTheme="minorHAnsi" w:cstheme="minorHAnsi" w:hAnsiTheme="minorHAnsi"/>
          <w:i/>
          <w:iCs/>
          <w:sz w:val="22"/>
          <w:szCs w:val="22"/>
        </w:rPr>
        <w:t>“valutazione delle competenze trasversali</w:t>
      </w:r>
      <w:r>
        <w:rPr>
          <w:rFonts w:cs="Calibri" w:ascii="Calibri" w:hAnsi="Calibri" w:asciiTheme="minorHAnsi" w:cstheme="minorHAnsi" w:hAnsiTheme="minorHAnsi"/>
          <w:sz w:val="22"/>
          <w:szCs w:val="22"/>
        </w:rPr>
        <w:t>” denominata “</w:t>
      </w:r>
      <w:r>
        <w:rPr>
          <w:rFonts w:cs="Calibri" w:ascii="Calibri" w:hAnsi="Calibri" w:asciiTheme="minorHAnsi" w:cstheme="minorHAnsi" w:hAnsiTheme="minorHAnsi"/>
          <w:b/>
          <w:bCs/>
          <w:i/>
          <w:iCs/>
          <w:sz w:val="22"/>
          <w:szCs w:val="22"/>
        </w:rPr>
        <w:t>scheda C</w:t>
      </w:r>
      <w:r>
        <w:rPr>
          <w:rFonts w:cs="Calibri" w:ascii="Calibri" w:hAnsi="Calibri" w:asciiTheme="minorHAnsi" w:cstheme="minorHAnsi" w:hAnsiTheme="minorHAnsi"/>
          <w:sz w:val="22"/>
          <w:szCs w:val="22"/>
        </w:rPr>
        <w:t>”.</w:t>
      </w:r>
    </w:p>
    <w:p>
      <w:pPr>
        <w:pStyle w:val="Normal"/>
        <w:ind w:right="-624"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0"/>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La </w:t>
      </w:r>
      <w:r>
        <w:rPr>
          <w:rFonts w:cs="Calibri" w:ascii="Calibri" w:hAnsi="Calibri" w:asciiTheme="minorHAnsi" w:cstheme="minorHAnsi" w:hAnsiTheme="minorHAnsi"/>
          <w:b/>
          <w:i/>
          <w:sz w:val="22"/>
          <w:szCs w:val="22"/>
        </w:rPr>
        <w:t>“scheda C</w:t>
      </w:r>
      <w:r>
        <w:rPr>
          <w:rFonts w:cs="Calibri" w:ascii="Calibri" w:hAnsi="Calibri" w:asciiTheme="minorHAnsi" w:cstheme="minorHAnsi" w:hAnsiTheme="minorHAnsi"/>
          <w:b/>
          <w:sz w:val="22"/>
          <w:szCs w:val="22"/>
        </w:rPr>
        <w:t xml:space="preserve">” </w:t>
      </w:r>
      <w:r>
        <w:rPr>
          <w:rFonts w:cs="Calibri" w:ascii="Calibri" w:hAnsi="Calibri" w:asciiTheme="minorHAnsi" w:cstheme="minorHAnsi" w:hAnsiTheme="minorHAnsi"/>
          <w:sz w:val="22"/>
          <w:szCs w:val="22"/>
        </w:rPr>
        <w:t>attraverso l’espressione di 20 item, prende in esame le seguenti tre dimensioni:</w:t>
      </w:r>
    </w:p>
    <w:p>
      <w:pPr>
        <w:pStyle w:val="Normal"/>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1. </w:t>
      </w:r>
      <w:r>
        <w:rPr>
          <w:rFonts w:cs="Calibri" w:ascii="Calibri" w:hAnsi="Calibri" w:asciiTheme="minorHAnsi" w:cstheme="minorHAnsi" w:hAnsiTheme="minorHAnsi"/>
          <w:b/>
          <w:sz w:val="22"/>
          <w:szCs w:val="22"/>
        </w:rPr>
        <w:t>Realizzativa</w:t>
      </w:r>
      <w:r>
        <w:rPr>
          <w:rFonts w:cs="Calibri" w:ascii="Calibri" w:hAnsi="Calibri" w:asciiTheme="minorHAnsi" w:cstheme="minorHAnsi" w:hAnsiTheme="minorHAnsi"/>
          <w:sz w:val="22"/>
          <w:szCs w:val="22"/>
        </w:rPr>
        <w:t>: livello di capacità di iniziativa, sensibilità economica, organizzazione e controllo.</w:t>
      </w:r>
    </w:p>
    <w:p>
      <w:pPr>
        <w:pStyle w:val="Normal"/>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2. </w:t>
      </w:r>
      <w:r>
        <w:rPr>
          <w:rFonts w:cs="Calibri" w:ascii="Calibri" w:hAnsi="Calibri" w:asciiTheme="minorHAnsi" w:cstheme="minorHAnsi" w:hAnsiTheme="minorHAnsi"/>
          <w:b/>
          <w:sz w:val="22"/>
          <w:szCs w:val="22"/>
        </w:rPr>
        <w:t>Manageriale</w:t>
      </w:r>
      <w:r>
        <w:rPr>
          <w:rFonts w:cs="Calibri" w:ascii="Calibri" w:hAnsi="Calibri" w:asciiTheme="minorHAnsi" w:cstheme="minorHAnsi" w:hAnsiTheme="minorHAnsi"/>
          <w:sz w:val="22"/>
          <w:szCs w:val="22"/>
        </w:rPr>
        <w:t>: capacità  concettuali  e tecniche,  abilità  gestionali  anche  organizzativo  funzionale  e</w:t>
      </w:r>
    </w:p>
    <w:p>
      <w:pPr>
        <w:pStyle w:val="Normal"/>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abilità nella gestione delle relazioni umane.</w:t>
      </w:r>
    </w:p>
    <w:p>
      <w:pPr>
        <w:pStyle w:val="Normal"/>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3. </w:t>
      </w:r>
      <w:r>
        <w:rPr>
          <w:rFonts w:cs="Calibri" w:ascii="Calibri" w:hAnsi="Calibri" w:asciiTheme="minorHAnsi" w:cstheme="minorHAnsi" w:hAnsiTheme="minorHAnsi"/>
          <w:b/>
          <w:sz w:val="22"/>
          <w:szCs w:val="22"/>
        </w:rPr>
        <w:t>Competenze</w:t>
      </w:r>
      <w:r>
        <w:rPr>
          <w:rFonts w:cs="Calibri" w:ascii="Calibri" w:hAnsi="Calibri" w:asciiTheme="minorHAnsi" w:cstheme="minorHAnsi" w:hAnsiTheme="minorHAnsi"/>
          <w:sz w:val="22"/>
          <w:szCs w:val="22"/>
        </w:rPr>
        <w:t>:  capacità  di  raggiungimento  degli  obiettivi  programmati,  di  gestione  in  un  contesto</w:t>
      </w:r>
    </w:p>
    <w:p>
      <w:pPr>
        <w:pStyle w:val="Normal"/>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di cambiamento e di problemsolving</w:t>
      </w:r>
    </w:p>
    <w:p>
      <w:pPr>
        <w:pStyle w:val="Normal"/>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In  relazione  al  dirigente  valutato, il  valutatore  di prima istanza dà un giudizio ad ogni item della scheda C</w:t>
      </w:r>
    </w:p>
    <w:p>
      <w:pPr>
        <w:pStyle w:val="Normal"/>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esprimendosi con un punteggio da 1 a 5.</w:t>
      </w:r>
    </w:p>
    <w:p>
      <w:pPr>
        <w:pStyle w:val="Normal"/>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Il raggruppamento degli item per le dimensioni “ MANAGERIALE” “ REALIZZATIVA “ e “COMPETENZE” andrà</w:t>
      </w:r>
    </w:p>
    <w:p>
      <w:pPr>
        <w:pStyle w:val="Normal"/>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a costruire il </w:t>
      </w:r>
      <w:r>
        <w:rPr>
          <w:rFonts w:cs="Calibri" w:ascii="Calibri" w:hAnsi="Calibri" w:asciiTheme="minorHAnsi" w:cstheme="minorHAnsi" w:hAnsiTheme="minorHAnsi"/>
          <w:b/>
          <w:sz w:val="22"/>
          <w:szCs w:val="22"/>
        </w:rPr>
        <w:t>“ CUBO DELLE COMPETENZE” dove ogni dimensione avrà un valore da 1 a 5 e di conseguenza il valutato potrà</w:t>
      </w:r>
      <w:r>
        <w:rPr>
          <w:rFonts w:cs="Calibri" w:ascii="Calibri" w:hAnsi="Calibri" w:asciiTheme="minorHAnsi" w:cstheme="minorHAnsi" w:hAnsiTheme="minorHAnsi"/>
          <w:sz w:val="22"/>
          <w:szCs w:val="22"/>
        </w:rPr>
        <w:t xml:space="preserve"> utilizzare sino ad un punteggio massimo di 15</w:t>
      </w:r>
    </w:p>
    <w:p>
      <w:pPr>
        <w:pStyle w:val="Normal"/>
        <w:rPr>
          <w:rFonts w:ascii="Calibri" w:hAnsi="Calibri" w:cs="Calibri" w:asciiTheme="minorHAnsi" w:cstheme="minorHAnsi" w:hAnsiTheme="minorHAnsi"/>
          <w:b/>
          <w:b/>
          <w:sz w:val="22"/>
          <w:szCs w:val="22"/>
        </w:rPr>
      </w:pPr>
      <w:r>
        <w:rPr>
          <w:rFonts w:cs="Calibri" w:cstheme="minorHAnsi" w:ascii="Calibri" w:hAnsi="Calibri"/>
          <w:b/>
          <w:sz w:val="22"/>
          <w:szCs w:val="22"/>
        </w:rPr>
        <w:drawing>
          <wp:anchor behindDoc="0" distT="0" distB="0" distL="0" distR="0" simplePos="0" locked="0" layoutInCell="0" allowOverlap="1" relativeHeight="156">
            <wp:simplePos x="0" y="0"/>
            <wp:positionH relativeFrom="column">
              <wp:posOffset>497840</wp:posOffset>
            </wp:positionH>
            <wp:positionV relativeFrom="paragraph">
              <wp:posOffset>159385</wp:posOffset>
            </wp:positionV>
            <wp:extent cx="4895850" cy="5095875"/>
            <wp:effectExtent l="0" t="0" r="0" b="0"/>
            <wp:wrapSquare wrapText="largest"/>
            <wp:docPr id="74" name="Immagin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magine8" descr=""/>
                    <pic:cNvPicPr>
                      <a:picLocks noChangeAspect="1" noChangeArrowheads="1"/>
                    </pic:cNvPicPr>
                  </pic:nvPicPr>
                  <pic:blipFill>
                    <a:blip r:embed="rId72"/>
                    <a:stretch>
                      <a:fillRect/>
                    </a:stretch>
                  </pic:blipFill>
                  <pic:spPr bwMode="auto">
                    <a:xfrm>
                      <a:off x="0" y="0"/>
                      <a:ext cx="4895850" cy="5095875"/>
                    </a:xfrm>
                    <a:prstGeom prst="rect">
                      <a:avLst/>
                    </a:prstGeom>
                  </pic:spPr>
                </pic:pic>
              </a:graphicData>
            </a:graphic>
          </wp:anchor>
        </w:drawing>
      </w:r>
    </w:p>
    <w:p>
      <w:pPr>
        <w:pStyle w:val="Normal"/>
        <w:ind w:right="-624"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0"/>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color w:val="000000"/>
          <w:sz w:val="22"/>
          <w:szCs w:val="22"/>
        </w:rPr>
        <w:t>Il processo di valutazione della scheda C inizia con la valutazione di prima istanza nella quale il valutatore</w:t>
      </w:r>
    </w:p>
    <w:p>
      <w:pPr>
        <w:pStyle w:val="Normal"/>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color w:val="000000"/>
          <w:sz w:val="22"/>
          <w:szCs w:val="22"/>
        </w:rPr>
        <w:t>valuta il  proprio  collaboratore;  nella seconda  fase  il valutato  prende  visione  ed  accetta  o contesta la</w:t>
      </w:r>
    </w:p>
    <w:p>
      <w:pPr>
        <w:pStyle w:val="Normal"/>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color w:val="000000"/>
          <w:sz w:val="22"/>
          <w:szCs w:val="22"/>
        </w:rPr>
        <w:t xml:space="preserve">valutazione: in caso  di accettazione il percorso è terminato,  altrimenti  si attiva  la  valutazione  di  intesa </w:t>
      </w:r>
    </w:p>
    <w:p>
      <w:pPr>
        <w:pStyle w:val="Normal"/>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color w:val="000000"/>
          <w:sz w:val="22"/>
          <w:szCs w:val="22"/>
        </w:rPr>
        <w:t>che sarà effettuata dal livello superiore del valutatore.</w:t>
      </w:r>
    </w:p>
    <w:p>
      <w:pPr>
        <w:pStyle w:val="Normal"/>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color w:val="000000"/>
          <w:sz w:val="22"/>
          <w:szCs w:val="22"/>
        </w:rPr>
        <w:t>Di seguito uno schema di sintesi</w:t>
      </w:r>
    </w:p>
    <w:p>
      <w:pPr>
        <w:pStyle w:val="Normal"/>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rPr>
          <w:rFonts w:ascii="Calibri" w:hAnsi="Calibri" w:cs="Calibri" w:asciiTheme="minorHAnsi" w:cstheme="minorHAnsi" w:hAnsiTheme="minorHAnsi"/>
          <w:sz w:val="22"/>
          <w:szCs w:val="22"/>
        </w:rPr>
      </w:pPr>
      <w:r>
        <w:drawing>
          <wp:anchor behindDoc="0" distT="0" distB="0" distL="0" distR="0" simplePos="0" locked="0" layoutInCell="0" allowOverlap="1" relativeHeight="153">
            <wp:simplePos x="0" y="0"/>
            <wp:positionH relativeFrom="column">
              <wp:posOffset>360045</wp:posOffset>
            </wp:positionH>
            <wp:positionV relativeFrom="paragraph">
              <wp:posOffset>172720</wp:posOffset>
            </wp:positionV>
            <wp:extent cx="1743075" cy="1809115"/>
            <wp:effectExtent l="0" t="0" r="0" b="0"/>
            <wp:wrapSquare wrapText="largest"/>
            <wp:docPr id="75"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magine3" descr=""/>
                    <pic:cNvPicPr>
                      <a:picLocks noChangeAspect="1" noChangeArrowheads="1"/>
                    </pic:cNvPicPr>
                  </pic:nvPicPr>
                  <pic:blipFill>
                    <a:blip r:embed="rId73"/>
                    <a:stretch>
                      <a:fillRect/>
                    </a:stretch>
                  </pic:blipFill>
                  <pic:spPr bwMode="auto">
                    <a:xfrm>
                      <a:off x="0" y="0"/>
                      <a:ext cx="1743075" cy="1809115"/>
                    </a:xfrm>
                    <a:prstGeom prst="rect">
                      <a:avLst/>
                    </a:prstGeom>
                  </pic:spPr>
                </pic:pic>
              </a:graphicData>
            </a:graphic>
          </wp:anchor>
        </w:drawing>
        <w:drawing>
          <wp:anchor behindDoc="0" distT="0" distB="0" distL="0" distR="0" simplePos="0" locked="0" layoutInCell="0" allowOverlap="1" relativeHeight="154">
            <wp:simplePos x="0" y="0"/>
            <wp:positionH relativeFrom="column">
              <wp:posOffset>2216785</wp:posOffset>
            </wp:positionH>
            <wp:positionV relativeFrom="paragraph">
              <wp:posOffset>172720</wp:posOffset>
            </wp:positionV>
            <wp:extent cx="1743075" cy="1809115"/>
            <wp:effectExtent l="0" t="0" r="0" b="0"/>
            <wp:wrapSquare wrapText="largest"/>
            <wp:docPr id="76" name="Immagin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agine11" descr=""/>
                    <pic:cNvPicPr>
                      <a:picLocks noChangeAspect="1" noChangeArrowheads="1"/>
                    </pic:cNvPicPr>
                  </pic:nvPicPr>
                  <pic:blipFill>
                    <a:blip r:embed="rId74"/>
                    <a:stretch>
                      <a:fillRect/>
                    </a:stretch>
                  </pic:blipFill>
                  <pic:spPr bwMode="auto">
                    <a:xfrm>
                      <a:off x="0" y="0"/>
                      <a:ext cx="1743075" cy="1809115"/>
                    </a:xfrm>
                    <a:prstGeom prst="rect">
                      <a:avLst/>
                    </a:prstGeom>
                  </pic:spPr>
                </pic:pic>
              </a:graphicData>
            </a:graphic>
          </wp:anchor>
        </w:drawing>
        <w:drawing>
          <wp:anchor behindDoc="0" distT="0" distB="0" distL="0" distR="0" simplePos="0" locked="0" layoutInCell="0" allowOverlap="1" relativeHeight="155">
            <wp:simplePos x="0" y="0"/>
            <wp:positionH relativeFrom="column">
              <wp:posOffset>4017645</wp:posOffset>
            </wp:positionH>
            <wp:positionV relativeFrom="paragraph">
              <wp:posOffset>172720</wp:posOffset>
            </wp:positionV>
            <wp:extent cx="1437640" cy="1809115"/>
            <wp:effectExtent l="0" t="0" r="0" b="0"/>
            <wp:wrapSquare wrapText="largest"/>
            <wp:docPr id="77" name="Immagin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magine12" descr=""/>
                    <pic:cNvPicPr>
                      <a:picLocks noChangeAspect="1" noChangeArrowheads="1"/>
                    </pic:cNvPicPr>
                  </pic:nvPicPr>
                  <pic:blipFill>
                    <a:blip r:embed="rId75"/>
                    <a:stretch>
                      <a:fillRect/>
                    </a:stretch>
                  </pic:blipFill>
                  <pic:spPr bwMode="auto">
                    <a:xfrm>
                      <a:off x="0" y="0"/>
                      <a:ext cx="1437640" cy="1809115"/>
                    </a:xfrm>
                    <a:prstGeom prst="rect">
                      <a:avLst/>
                    </a:prstGeom>
                  </pic:spPr>
                </pic:pic>
              </a:graphicData>
            </a:graphic>
          </wp:anchor>
        </w:drawing>
      </w:r>
      <w:r>
        <w:rPr>
          <w:rFonts w:cs="Calibri" w:ascii="Calibri" w:hAnsi="Calibri" w:asciiTheme="minorHAnsi" w:cstheme="minorHAnsi" w:hAnsiTheme="minorHAnsi"/>
          <w:color w:val="FFFFFF"/>
          <w:sz w:val="22"/>
          <w:szCs w:val="22"/>
        </w:rPr>
        <w:t>Valutazione di 1^</w:t>
      </w:r>
    </w:p>
    <w:p>
      <w:pPr>
        <w:pStyle w:val="Normal"/>
        <w:rPr>
          <w:rFonts w:ascii="Calibri" w:hAnsi="Calibri" w:cs="Calibri" w:asciiTheme="minorHAnsi" w:cstheme="minorHAnsi" w:hAnsiTheme="minorHAnsi"/>
          <w:color w:val="FFFFFF"/>
          <w:sz w:val="22"/>
          <w:szCs w:val="22"/>
        </w:rPr>
      </w:pPr>
      <w:r>
        <w:rPr>
          <w:rFonts w:cs="Calibri" w:cstheme="minorHAnsi" w:ascii="Calibri" w:hAnsi="Calibri"/>
          <w:color w:val="FFFFFF"/>
          <w:sz w:val="22"/>
          <w:szCs w:val="22"/>
        </w:rPr>
      </w:r>
    </w:p>
    <w:p>
      <w:pPr>
        <w:pStyle w:val="Normal"/>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Il periodo di compilazione della  scheda C  è stato dal 18 settembre 2023 al 02 ottobre 2023.</w:t>
      </w:r>
    </w:p>
    <w:p>
      <w:pPr>
        <w:pStyle w:val="Normal"/>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Nel grafico sotto riportato si evidenzia l’andamento della compilazione delle schede nel periodo di tempo assegnato;</w:t>
      </w:r>
    </w:p>
    <w:p>
      <w:pPr>
        <w:pStyle w:val="Normal"/>
        <w:rPr>
          <w:rFonts w:ascii="Calibri" w:hAnsi="Calibri" w:cs="Calibri" w:asciiTheme="minorHAnsi" w:cstheme="minorHAnsi" w:hAnsiTheme="minorHAnsi"/>
          <w:color w:val="FFFFFF"/>
          <w:sz w:val="22"/>
          <w:szCs w:val="22"/>
        </w:rPr>
      </w:pPr>
      <w:r>
        <w:rPr>
          <w:rFonts w:cs="Calibri" w:cstheme="minorHAnsi" w:ascii="Calibri" w:hAnsi="Calibri"/>
          <w:color w:val="FFFFFF"/>
          <w:sz w:val="22"/>
          <w:szCs w:val="22"/>
        </w:rPr>
      </w:r>
    </w:p>
    <w:p>
      <w:pPr>
        <w:pStyle w:val="Normal"/>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0"/>
        <w:rPr>
          <w:rFonts w:ascii="Calibri" w:hAnsi="Calibri" w:cs="Calibri" w:asciiTheme="minorHAnsi" w:cstheme="minorHAnsi" w:hAnsiTheme="minorHAnsi"/>
          <w:sz w:val="22"/>
          <w:szCs w:val="22"/>
        </w:rPr>
      </w:pPr>
      <w:r>
        <w:rPr>
          <w:rFonts w:cs="Calibri" w:cstheme="minorHAnsi" w:ascii="Calibri" w:hAnsi="Calibri"/>
          <w:sz w:val="22"/>
          <w:szCs w:val="22"/>
        </w:rPr>
        <w:drawing>
          <wp:anchor behindDoc="0" distT="0" distB="0" distL="0" distR="0" simplePos="0" locked="0" layoutInCell="0" allowOverlap="1" relativeHeight="157">
            <wp:simplePos x="0" y="0"/>
            <wp:positionH relativeFrom="column">
              <wp:align>center</wp:align>
            </wp:positionH>
            <wp:positionV relativeFrom="paragraph">
              <wp:posOffset>635</wp:posOffset>
            </wp:positionV>
            <wp:extent cx="6120130" cy="3982085"/>
            <wp:effectExtent l="0" t="0" r="0" b="0"/>
            <wp:wrapSquare wrapText="largest"/>
            <wp:docPr id="78" name="Immagin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magine10" descr=""/>
                    <pic:cNvPicPr>
                      <a:picLocks noChangeAspect="1" noChangeArrowheads="1"/>
                    </pic:cNvPicPr>
                  </pic:nvPicPr>
                  <pic:blipFill>
                    <a:blip r:embed="rId76"/>
                    <a:stretch>
                      <a:fillRect/>
                    </a:stretch>
                  </pic:blipFill>
                  <pic:spPr bwMode="auto">
                    <a:xfrm>
                      <a:off x="0" y="0"/>
                      <a:ext cx="6120130" cy="3982085"/>
                    </a:xfrm>
                    <a:prstGeom prst="rect">
                      <a:avLst/>
                    </a:prstGeom>
                  </pic:spPr>
                </pic:pic>
              </a:graphicData>
            </a:graphic>
          </wp:anchor>
        </w:drawing>
      </w:r>
    </w:p>
    <w:p>
      <w:pPr>
        <w:pStyle w:val="Normal"/>
        <w:ind w:right="-624"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0"/>
        <w:rPr>
          <w:rFonts w:ascii="Calibri" w:hAnsi="Calibri" w:cs="Calibri" w:asciiTheme="minorHAnsi" w:cstheme="minorHAnsi" w:hAnsiTheme="minorHAnsi"/>
          <w:sz w:val="22"/>
          <w:szCs w:val="22"/>
        </w:rPr>
      </w:pPr>
      <w:r>
        <w:rPr>
          <w:rFonts w:cs="Calibri" w:ascii="Calibri" w:hAnsi="Calibri" w:asciiTheme="minorHAnsi" w:cstheme="minorHAnsi" w:hAnsiTheme="minorHAnsi"/>
          <w:color w:val="000000"/>
          <w:sz w:val="22"/>
          <w:szCs w:val="22"/>
        </w:rPr>
        <w:t xml:space="preserve">Nella figura che segue si riporta la sintesi degli esiti della valutazione rilevando che dei 2.795 dirigenti valutati, n. 2.781 valutazioni </w:t>
      </w:r>
      <w:bookmarkStart w:id="55" w:name="_GoBack"/>
      <w:bookmarkEnd w:id="55"/>
      <w:r>
        <w:rPr>
          <w:rFonts w:cs="Calibri" w:ascii="Calibri" w:hAnsi="Calibri" w:asciiTheme="minorHAnsi" w:cstheme="minorHAnsi" w:hAnsiTheme="minorHAnsi"/>
          <w:color w:val="000000"/>
          <w:sz w:val="22"/>
          <w:szCs w:val="22"/>
        </w:rPr>
        <w:t xml:space="preserve">sono state  accettate, mentre n. 14  schede sono state  contestate e rivalutate in sede d’intesa dal macrolivello. Di queste, per n. 8 schede è stato confermato il punteggio di sintesi mentre per n. 6 il punteggio è stato aumentato. </w:t>
      </w:r>
    </w:p>
    <w:p>
      <w:pPr>
        <w:pStyle w:val="Normal"/>
        <w:ind w:right="-624" w:hanging="964"/>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drawing>
          <wp:anchor behindDoc="0" distT="0" distB="0" distL="0" distR="0" simplePos="0" locked="0" layoutInCell="0" allowOverlap="1" relativeHeight="158">
            <wp:simplePos x="0" y="0"/>
            <wp:positionH relativeFrom="column">
              <wp:posOffset>-26035</wp:posOffset>
            </wp:positionH>
            <wp:positionV relativeFrom="paragraph">
              <wp:posOffset>635</wp:posOffset>
            </wp:positionV>
            <wp:extent cx="2929255" cy="3197225"/>
            <wp:effectExtent l="0" t="0" r="0" b="0"/>
            <wp:wrapSquare wrapText="largest"/>
            <wp:docPr id="79"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magine2" descr=""/>
                    <pic:cNvPicPr>
                      <a:picLocks noChangeAspect="1" noChangeArrowheads="1"/>
                    </pic:cNvPicPr>
                  </pic:nvPicPr>
                  <pic:blipFill>
                    <a:blip r:embed="rId77"/>
                    <a:stretch>
                      <a:fillRect/>
                    </a:stretch>
                  </pic:blipFill>
                  <pic:spPr bwMode="auto">
                    <a:xfrm>
                      <a:off x="0" y="0"/>
                      <a:ext cx="2929255" cy="3197225"/>
                    </a:xfrm>
                    <a:prstGeom prst="rect">
                      <a:avLst/>
                    </a:prstGeom>
                  </pic:spPr>
                </pic:pic>
              </a:graphicData>
            </a:graphic>
          </wp:anchor>
        </w:drawing>
      </w:r>
    </w:p>
    <w:p>
      <w:pPr>
        <w:pStyle w:val="Normal"/>
        <w:ind w:right="-624" w:hanging="964"/>
        <w:rPr>
          <w:rFonts w:ascii="Calibri" w:hAnsi="Calibri" w:cs="Calibri" w:asciiTheme="minorHAnsi" w:cstheme="minorHAnsi" w:hAnsiTheme="minorHAnsi"/>
          <w:sz w:val="22"/>
          <w:szCs w:val="22"/>
        </w:rPr>
      </w:pPr>
      <w:r>
        <w:drawing>
          <wp:anchor behindDoc="0" distT="0" distB="0" distL="0" distR="0" simplePos="0" locked="0" layoutInCell="0" allowOverlap="1" relativeHeight="159">
            <wp:simplePos x="0" y="0"/>
            <wp:positionH relativeFrom="column">
              <wp:posOffset>3302635</wp:posOffset>
            </wp:positionH>
            <wp:positionV relativeFrom="paragraph">
              <wp:posOffset>156845</wp:posOffset>
            </wp:positionV>
            <wp:extent cx="3124835" cy="2832100"/>
            <wp:effectExtent l="0" t="0" r="0" b="0"/>
            <wp:wrapSquare wrapText="largest"/>
            <wp:docPr id="80" name="Immagin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magine5" descr=""/>
                    <pic:cNvPicPr>
                      <a:picLocks noChangeAspect="1" noChangeArrowheads="1"/>
                    </pic:cNvPicPr>
                  </pic:nvPicPr>
                  <pic:blipFill>
                    <a:blip r:embed="rId78"/>
                    <a:stretch>
                      <a:fillRect/>
                    </a:stretch>
                  </pic:blipFill>
                  <pic:spPr bwMode="auto">
                    <a:xfrm>
                      <a:off x="0" y="0"/>
                      <a:ext cx="3124835" cy="2832100"/>
                    </a:xfrm>
                    <a:prstGeom prst="rect">
                      <a:avLst/>
                    </a:prstGeom>
                  </pic:spPr>
                </pic:pic>
              </a:graphicData>
            </a:graphic>
          </wp:anchor>
        </w:drawing>
      </w:r>
      <w:r>
        <w:rPr>
          <w:rFonts w:cs="Calibri" w:ascii="Calibri" w:hAnsi="Calibri" w:asciiTheme="minorHAnsi" w:cstheme="minorHAnsi" w:hAnsiTheme="minorHAnsi"/>
          <w:sz w:val="22"/>
          <w:szCs w:val="22"/>
        </w:rPr>
        <w:t xml:space="preserve">                  </w:t>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     </w:t>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       </w:t>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   </w:t>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0"/>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color w:val="000000"/>
          <w:sz w:val="22"/>
          <w:szCs w:val="22"/>
        </w:rPr>
        <w:t>La successiva tabella riporta gli esiti finali della valutazione individuale della scheda C (dati aggregati per Dipartimento) con il dettaglio della collocazione del dirigente nel cubo delle competenze dove nella colonna CI sono evidenziati i valutati con punteggio da 14 a 15, in CII da 12 a 13, CIII da 9 a 11e CIV è da 3 a 8 punti:</w:t>
      </w:r>
    </w:p>
    <w:p>
      <w:pPr>
        <w:pStyle w:val="Normal"/>
        <w:ind w:right="-624" w:hanging="0"/>
        <w:jc w:val="both"/>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drawing>
          <wp:anchor behindDoc="0" distT="0" distB="0" distL="0" distR="0" simplePos="0" locked="0" layoutInCell="0" allowOverlap="1" relativeHeight="162">
            <wp:simplePos x="0" y="0"/>
            <wp:positionH relativeFrom="column">
              <wp:posOffset>-480060</wp:posOffset>
            </wp:positionH>
            <wp:positionV relativeFrom="paragraph">
              <wp:posOffset>12700</wp:posOffset>
            </wp:positionV>
            <wp:extent cx="6887210" cy="7458075"/>
            <wp:effectExtent l="0" t="0" r="0" b="0"/>
            <wp:wrapSquare wrapText="largest"/>
            <wp:docPr id="81" name="Immagin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magine6" descr=""/>
                    <pic:cNvPicPr>
                      <a:picLocks noChangeAspect="1" noChangeArrowheads="1"/>
                    </pic:cNvPicPr>
                  </pic:nvPicPr>
                  <pic:blipFill>
                    <a:blip r:embed="rId79"/>
                    <a:stretch>
                      <a:fillRect/>
                    </a:stretch>
                  </pic:blipFill>
                  <pic:spPr bwMode="auto">
                    <a:xfrm>
                      <a:off x="0" y="0"/>
                      <a:ext cx="6887210" cy="7458075"/>
                    </a:xfrm>
                    <a:prstGeom prst="rect">
                      <a:avLst/>
                    </a:prstGeom>
                  </pic:spPr>
                </pic:pic>
              </a:graphicData>
            </a:graphic>
          </wp:anchor>
        </w:drawing>
      </w:r>
    </w:p>
    <w:p>
      <w:pPr>
        <w:pStyle w:val="Normal"/>
        <w:ind w:right="-624" w:hanging="964"/>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               </w:t>
      </w:r>
      <w:r>
        <w:rPr>
          <w:rFonts w:cs="Calibri" w:ascii="Calibri" w:hAnsi="Calibri" w:asciiTheme="minorHAnsi" w:cstheme="minorHAnsi" w:hAnsiTheme="minorHAnsi"/>
          <w:color w:val="000000"/>
          <w:sz w:val="22"/>
          <w:szCs w:val="22"/>
        </w:rPr>
        <w:t xml:space="preserve">  </w:t>
      </w:r>
      <w:r>
        <w:rPr>
          <w:rFonts w:cs="Calibri" w:ascii="Calibri" w:hAnsi="Calibri" w:asciiTheme="minorHAnsi" w:cstheme="minorHAnsi" w:hAnsiTheme="minorHAnsi"/>
          <w:color w:val="000000"/>
          <w:sz w:val="22"/>
          <w:szCs w:val="22"/>
        </w:rPr>
        <w:t>In relazione alla valutazione individuale della scheda C si riporta graficamente la distribuzione dei dirigenti</w:t>
      </w:r>
    </w:p>
    <w:p>
      <w:pPr>
        <w:pStyle w:val="Normal"/>
        <w:ind w:right="-624" w:hanging="964"/>
        <w:rPr>
          <w:rFonts w:ascii="Calibri" w:hAnsi="Calibri" w:cs="Calibri" w:asciiTheme="minorHAnsi" w:cstheme="minorHAnsi" w:hAnsiTheme="minorHAnsi"/>
          <w:sz w:val="22"/>
          <w:szCs w:val="22"/>
        </w:rPr>
      </w:pPr>
      <w:r>
        <w:rPr>
          <w:rFonts w:cs="Calibri" w:ascii="Calibri" w:hAnsi="Calibri" w:asciiTheme="minorHAnsi" w:cstheme="minorHAnsi" w:hAnsiTheme="minorHAnsi"/>
          <w:color w:val="000000"/>
          <w:sz w:val="22"/>
          <w:szCs w:val="22"/>
        </w:rPr>
        <w:t xml:space="preserve">                 </w:t>
      </w:r>
      <w:r>
        <w:rPr>
          <w:rFonts w:cs="Calibri" w:ascii="Calibri" w:hAnsi="Calibri" w:asciiTheme="minorHAnsi" w:cstheme="minorHAnsi" w:hAnsiTheme="minorHAnsi"/>
          <w:color w:val="000000"/>
          <w:sz w:val="22"/>
          <w:szCs w:val="22"/>
        </w:rPr>
        <w:t>nelle quattro fasce delle dimensioni del cubo delle competenze.</w:t>
      </w:r>
    </w:p>
    <w:p>
      <w:pPr>
        <w:pStyle w:val="Normal"/>
        <w:ind w:right="-624" w:hanging="964"/>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br/>
      </w:r>
    </w:p>
    <w:p>
      <w:pPr>
        <w:pStyle w:val="Normal"/>
        <w:ind w:right="-624" w:hanging="964"/>
        <w:rPr>
          <w:rFonts w:ascii="Calibri" w:hAnsi="Calibri" w:cs="Calibri" w:asciiTheme="minorHAnsi" w:cstheme="minorHAnsi" w:hAnsiTheme="minorHAnsi"/>
          <w:sz w:val="22"/>
          <w:szCs w:val="22"/>
        </w:rPr>
      </w:pPr>
      <w:r>
        <w:drawing>
          <wp:anchor behindDoc="0" distT="0" distB="0" distL="0" distR="0" simplePos="0" locked="0" layoutInCell="0" allowOverlap="1" relativeHeight="161">
            <wp:simplePos x="0" y="0"/>
            <wp:positionH relativeFrom="column">
              <wp:posOffset>1521460</wp:posOffset>
            </wp:positionH>
            <wp:positionV relativeFrom="paragraph">
              <wp:posOffset>9525</wp:posOffset>
            </wp:positionV>
            <wp:extent cx="1829435" cy="2941320"/>
            <wp:effectExtent l="0" t="0" r="0" b="0"/>
            <wp:wrapSquare wrapText="largest"/>
            <wp:docPr id="82" name="Immagin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magine9" descr=""/>
                    <pic:cNvPicPr>
                      <a:picLocks noChangeAspect="1" noChangeArrowheads="1"/>
                    </pic:cNvPicPr>
                  </pic:nvPicPr>
                  <pic:blipFill>
                    <a:blip r:embed="rId80"/>
                    <a:stretch>
                      <a:fillRect/>
                    </a:stretch>
                  </pic:blipFill>
                  <pic:spPr bwMode="auto">
                    <a:xfrm>
                      <a:off x="0" y="0"/>
                      <a:ext cx="1829435" cy="2941320"/>
                    </a:xfrm>
                    <a:prstGeom prst="rect">
                      <a:avLst/>
                    </a:prstGeom>
                  </pic:spPr>
                </pic:pic>
              </a:graphicData>
            </a:graphic>
          </wp:anchor>
        </w:drawing>
      </w:r>
      <w:r>
        <w:rPr>
          <w:rFonts w:cs="Calibri" w:ascii="Calibri" w:hAnsi="Calibri" w:asciiTheme="minorHAnsi" w:cstheme="minorHAnsi" w:hAnsiTheme="minorHAnsi"/>
          <w:sz w:val="22"/>
          <w:szCs w:val="22"/>
        </w:rPr>
        <w:t xml:space="preserve">  </w:t>
      </w:r>
      <w:r>
        <w:rPr>
          <w:rFonts w:cs="Calibri" w:ascii="Calibri" w:hAnsi="Calibri" w:asciiTheme="minorHAnsi" w:cstheme="minorHAnsi" w:hAnsiTheme="minorHAnsi"/>
          <w:sz w:val="22"/>
          <w:szCs w:val="22"/>
        </w:rPr>
        <w:tab/>
        <w:tab/>
        <w:tab/>
        <w:tab/>
        <w:tab/>
        <w:tab/>
        <w:tab/>
        <w:tab/>
        <w:tab/>
        <w:tab/>
        <w:tab/>
        <w:tab/>
      </w:r>
    </w:p>
    <w:p>
      <w:pPr>
        <w:pStyle w:val="Normal"/>
        <w:ind w:right="-624" w:hanging="964"/>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ab/>
        <w:tab/>
        <w:tab/>
        <w:tab/>
        <w:tab/>
        <w:tab/>
      </w:r>
    </w:p>
    <w:p>
      <w:pPr>
        <w:pStyle w:val="Normal"/>
        <w:ind w:right="-624" w:hanging="964"/>
        <w:rPr>
          <w:rFonts w:ascii="Calibri" w:hAnsi="Calibri" w:cs="Calibri" w:asciiTheme="minorHAnsi" w:cstheme="minorHAnsi" w:hAnsiTheme="minorHAnsi"/>
          <w:sz w:val="22"/>
          <w:szCs w:val="22"/>
        </w:rPr>
      </w:pPr>
      <w:r>
        <w:rPr>
          <w:rStyle w:val="Enfasiforte"/>
          <w:rFonts w:cs="Calibri" w:ascii="Calibri" w:hAnsi="Calibri" w:asciiTheme="minorHAnsi" w:cstheme="minorHAnsi" w:hAnsiTheme="minorHAnsi"/>
          <w:color w:val="000000"/>
          <w:sz w:val="22"/>
          <w:szCs w:val="22"/>
        </w:rPr>
        <w:t xml:space="preserve">                    </w:t>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Fonts w:ascii="Calibri" w:hAnsi="Calibri" w:cs="Calibri" w:asciiTheme="minorHAnsi" w:cstheme="minorHAnsi" w:hAnsiTheme="minorHAnsi"/>
          <w:sz w:val="22"/>
          <w:szCs w:val="22"/>
        </w:rPr>
      </w:pPr>
      <w:r>
        <w:rPr>
          <w:rStyle w:val="Enfasiforte"/>
          <w:rFonts w:cs="Calibri" w:ascii="Calibri" w:hAnsi="Calibri" w:asciiTheme="minorHAnsi" w:cstheme="minorHAnsi" w:hAnsiTheme="minorHAnsi"/>
          <w:color w:val="000000"/>
          <w:sz w:val="22"/>
          <w:szCs w:val="22"/>
        </w:rPr>
        <w:t xml:space="preserve">               </w:t>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drawing>
          <wp:anchor behindDoc="0" distT="0" distB="0" distL="0" distR="0" simplePos="0" locked="0" layoutInCell="0" allowOverlap="1" relativeHeight="160">
            <wp:simplePos x="0" y="0"/>
            <wp:positionH relativeFrom="column">
              <wp:posOffset>692785</wp:posOffset>
            </wp:positionH>
            <wp:positionV relativeFrom="paragraph">
              <wp:posOffset>167640</wp:posOffset>
            </wp:positionV>
            <wp:extent cx="3964940" cy="3573145"/>
            <wp:effectExtent l="0" t="0" r="0" b="0"/>
            <wp:wrapSquare wrapText="largest"/>
            <wp:docPr id="83"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magine1" descr=""/>
                    <pic:cNvPicPr>
                      <a:picLocks noChangeAspect="1" noChangeArrowheads="1"/>
                    </pic:cNvPicPr>
                  </pic:nvPicPr>
                  <pic:blipFill>
                    <a:blip r:embed="rId81"/>
                    <a:stretch>
                      <a:fillRect/>
                    </a:stretch>
                  </pic:blipFill>
                  <pic:spPr bwMode="auto">
                    <a:xfrm>
                      <a:off x="0" y="0"/>
                      <a:ext cx="3964940" cy="3573145"/>
                    </a:xfrm>
                    <a:prstGeom prst="rect">
                      <a:avLst/>
                    </a:prstGeom>
                  </pic:spPr>
                </pic:pic>
              </a:graphicData>
            </a:graphic>
          </wp:anchor>
        </w:drawing>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Style w:val="Enfasiforte"/>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spacing w:lineRule="atLeast" w:line="320" w:before="0" w:after="12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Titoloprincipale"/>
        <w:numPr>
          <w:ilvl w:val="0"/>
          <w:numId w:val="1"/>
        </w:numPr>
        <w:spacing w:lineRule="atLeast" w:line="320" w:before="0" w:after="120"/>
        <w:ind w:left="0" w:hanging="0"/>
        <w:jc w:val="left"/>
        <w:rPr>
          <w:rFonts w:ascii="Calibri" w:hAnsi="Calibri" w:cs="Calibri" w:asciiTheme="minorHAnsi" w:cstheme="minorHAnsi" w:hAnsiTheme="minorHAnsi"/>
          <w:sz w:val="22"/>
          <w:szCs w:val="22"/>
        </w:rPr>
      </w:pPr>
      <w:bookmarkStart w:id="56" w:name="_Toc152228366"/>
      <w:r>
        <w:rPr>
          <w:rFonts w:cs="Calibri" w:ascii="Calibri" w:hAnsi="Calibri" w:asciiTheme="minorHAnsi" w:cstheme="minorHAnsi" w:hAnsiTheme="minorHAnsi"/>
          <w:sz w:val="22"/>
          <w:szCs w:val="22"/>
        </w:rPr>
        <w:t>RISULTATI FINALI</w:t>
      </w:r>
      <w:bookmarkEnd w:id="56"/>
    </w:p>
    <w:p>
      <w:pPr>
        <w:pStyle w:val="Normal"/>
        <w:ind w:right="-624" w:hanging="0"/>
        <w:rPr>
          <w:rFonts w:ascii="Calibri" w:hAnsi="Calibri" w:cs="Calibri" w:asciiTheme="minorHAnsi" w:cstheme="minorHAnsi" w:hAnsiTheme="minorHAnsi"/>
          <w:sz w:val="22"/>
          <w:szCs w:val="22"/>
        </w:rPr>
      </w:pPr>
      <w:r>
        <w:rPr>
          <w:rFonts w:cs="Calibri" w:ascii="Calibri" w:hAnsi="Calibri" w:asciiTheme="minorHAnsi" w:cstheme="minorHAnsi" w:hAnsiTheme="minorHAnsi"/>
          <w:color w:val="000000"/>
          <w:sz w:val="22"/>
          <w:szCs w:val="22"/>
        </w:rPr>
        <w:t>La tabella e la figura sotto riportate rappresentano la sintesi aziendale per Dipartimento degli esiti finali per la collocazione definitiva del dirigente nella relativa fascia di merito.</w:t>
      </w:r>
    </w:p>
    <w:p>
      <w:pPr>
        <w:pStyle w:val="Normal"/>
        <w:ind w:right="-624" w:hanging="964"/>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Fonts w:ascii="Calibri" w:hAnsi="Calibri" w:cs="Calibri" w:asciiTheme="minorHAnsi" w:cstheme="minorHAnsi" w:hAnsiTheme="minorHAnsi"/>
          <w:sz w:val="22"/>
          <w:szCs w:val="22"/>
        </w:rPr>
      </w:pPr>
      <w:r>
        <w:rPr>
          <w:rFonts w:cs="Calibri" w:ascii="Calibri" w:hAnsi="Calibri" w:asciiTheme="minorHAnsi" w:cstheme="minorHAnsi" w:hAnsiTheme="minorHAnsi"/>
          <w:color w:val="000000"/>
          <w:sz w:val="22"/>
          <w:szCs w:val="22"/>
        </w:rPr>
        <w:t xml:space="preserve">                    </w:t>
      </w:r>
      <w:r>
        <w:drawing>
          <wp:anchor behindDoc="0" distT="0" distB="0" distL="0" distR="0" simplePos="0" locked="0" layoutInCell="0" allowOverlap="1" relativeHeight="165">
            <wp:simplePos x="0" y="0"/>
            <wp:positionH relativeFrom="column">
              <wp:posOffset>-482600</wp:posOffset>
            </wp:positionH>
            <wp:positionV relativeFrom="paragraph">
              <wp:posOffset>315595</wp:posOffset>
            </wp:positionV>
            <wp:extent cx="7242175" cy="7346315"/>
            <wp:effectExtent l="0" t="0" r="0" b="0"/>
            <wp:wrapSquare wrapText="largest"/>
            <wp:docPr id="84" name="Immagin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magine7" descr=""/>
                    <pic:cNvPicPr>
                      <a:picLocks noChangeAspect="1" noChangeArrowheads="1"/>
                    </pic:cNvPicPr>
                  </pic:nvPicPr>
                  <pic:blipFill>
                    <a:blip r:embed="rId82"/>
                    <a:stretch>
                      <a:fillRect/>
                    </a:stretch>
                  </pic:blipFill>
                  <pic:spPr bwMode="auto">
                    <a:xfrm>
                      <a:off x="0" y="0"/>
                      <a:ext cx="7242175" cy="7346315"/>
                    </a:xfrm>
                    <a:prstGeom prst="rect">
                      <a:avLst/>
                    </a:prstGeom>
                  </pic:spPr>
                </pic:pic>
              </a:graphicData>
            </a:graphic>
          </wp:anchor>
        </w:drawing>
      </w:r>
      <w:r>
        <w:rPr>
          <w:rFonts w:cs="Calibri" w:ascii="Calibri" w:hAnsi="Calibri" w:asciiTheme="minorHAnsi" w:cstheme="minorHAnsi" w:hAnsiTheme="minorHAnsi"/>
          <w:color w:val="000000"/>
          <w:sz w:val="22"/>
          <w:szCs w:val="22"/>
        </w:rPr>
        <w:t>Sintesi per Dipartimento della collocazione nella fascia di merito.</w:t>
        <w:br/>
      </w:r>
    </w:p>
    <w:p>
      <w:pPr>
        <w:pStyle w:val="Normal"/>
        <w:ind w:right="-624" w:hanging="964"/>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Fonts w:ascii="Calibri" w:hAnsi="Calibri" w:cs="Calibri" w:asciiTheme="minorHAnsi" w:cstheme="minorHAnsi" w:hAnsiTheme="minorHAnsi"/>
          <w:sz w:val="22"/>
          <w:szCs w:val="22"/>
        </w:rPr>
      </w:pPr>
      <w:r>
        <w:rPr>
          <w:rFonts w:cs="Calibri" w:ascii="Calibri" w:hAnsi="Calibri" w:asciiTheme="minorHAnsi" w:cstheme="minorHAnsi" w:hAnsiTheme="minorHAnsi"/>
          <w:color w:val="000000"/>
          <w:sz w:val="22"/>
          <w:szCs w:val="22"/>
        </w:rPr>
        <w:t xml:space="preserve">                           </w:t>
      </w:r>
      <w:r>
        <w:rPr>
          <w:rFonts w:cs="Calibri" w:ascii="Calibri" w:hAnsi="Calibri" w:asciiTheme="minorHAnsi" w:cstheme="minorHAnsi" w:hAnsiTheme="minorHAnsi"/>
          <w:color w:val="000000"/>
          <w:sz w:val="22"/>
          <w:szCs w:val="22"/>
        </w:rPr>
        <w:t xml:space="preserve">Distribuzione dei dirigenti nelle 4 fasce in relazione alla collocazione definitiva nella fascia di merito. </w:t>
      </w:r>
    </w:p>
    <w:p>
      <w:pPr>
        <w:pStyle w:val="Normal"/>
        <w:ind w:right="-624" w:hanging="964"/>
        <w:rPr>
          <w:rFonts w:ascii="Calibri" w:hAnsi="Calibri" w:cs="Calibri" w:asciiTheme="minorHAnsi" w:cstheme="minorHAnsi" w:hAnsiTheme="minorHAnsi"/>
          <w:color w:val="000000"/>
          <w:sz w:val="22"/>
          <w:szCs w:val="22"/>
        </w:rPr>
      </w:pPr>
      <w:r>
        <w:rPr>
          <w:rFonts w:cs="Calibri" w:cstheme="minorHAnsi" w:ascii="Calibri" w:hAnsi="Calibri"/>
          <w:color w:val="000000"/>
          <w:sz w:val="22"/>
          <w:szCs w:val="22"/>
        </w:rPr>
      </w:r>
    </w:p>
    <w:p>
      <w:pPr>
        <w:pStyle w:val="Normal"/>
        <w:ind w:right="-624" w:hanging="964"/>
        <w:rPr>
          <w:rFonts w:ascii="Calibri" w:hAnsi="Calibri" w:cs="Calibri" w:asciiTheme="minorHAnsi" w:cstheme="minorHAnsi" w:hAnsiTheme="minorHAnsi"/>
          <w:sz w:val="22"/>
          <w:szCs w:val="22"/>
        </w:rPr>
      </w:pPr>
      <w:r>
        <w:rPr>
          <w:rFonts w:cs="Calibri" w:ascii="Calibri" w:hAnsi="Calibri" w:asciiTheme="minorHAnsi" w:cstheme="minorHAnsi" w:hAnsiTheme="minorHAnsi"/>
          <w:color w:val="000000"/>
          <w:sz w:val="22"/>
          <w:szCs w:val="22"/>
        </w:rPr>
        <w:tab/>
        <w:tab/>
        <w:tab/>
        <w:tab/>
        <w:tab/>
        <w:tab/>
        <w:tab/>
        <w:tab/>
        <w:tab/>
        <w:tab/>
        <w:tab/>
        <w:tab/>
      </w:r>
      <w:r>
        <w:drawing>
          <wp:anchor behindDoc="0" distT="0" distB="0" distL="0" distR="0" simplePos="0" locked="0" layoutInCell="0" allowOverlap="1" relativeHeight="163">
            <wp:simplePos x="0" y="0"/>
            <wp:positionH relativeFrom="column">
              <wp:posOffset>1813560</wp:posOffset>
            </wp:positionH>
            <wp:positionV relativeFrom="paragraph">
              <wp:posOffset>196850</wp:posOffset>
            </wp:positionV>
            <wp:extent cx="2172335" cy="2772410"/>
            <wp:effectExtent l="0" t="0" r="0" b="0"/>
            <wp:wrapSquare wrapText="largest"/>
            <wp:docPr id="85" name="Immagin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magine13" descr=""/>
                    <pic:cNvPicPr>
                      <a:picLocks noChangeAspect="1" noChangeArrowheads="1"/>
                    </pic:cNvPicPr>
                  </pic:nvPicPr>
                  <pic:blipFill>
                    <a:blip r:embed="rId83"/>
                    <a:stretch>
                      <a:fillRect/>
                    </a:stretch>
                  </pic:blipFill>
                  <pic:spPr bwMode="auto">
                    <a:xfrm>
                      <a:off x="0" y="0"/>
                      <a:ext cx="2172335" cy="2772410"/>
                    </a:xfrm>
                    <a:prstGeom prst="rect">
                      <a:avLst/>
                    </a:prstGeom>
                  </pic:spPr>
                </pic:pic>
              </a:graphicData>
            </a:graphic>
          </wp:anchor>
        </w:drawing>
      </w:r>
      <w:r>
        <w:rPr>
          <w:rFonts w:cs="Calibri" w:ascii="Calibri" w:hAnsi="Calibri" w:asciiTheme="minorHAnsi" w:cstheme="minorHAnsi" w:hAnsiTheme="minorHAnsi"/>
          <w:sz w:val="22"/>
          <w:szCs w:val="22"/>
        </w:rPr>
        <w:b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0"/>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                 </w:t>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left="-964" w:right="-624"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    </w:t>
      </w:r>
      <w:r>
        <w:drawing>
          <wp:anchor behindDoc="0" distT="0" distB="0" distL="0" distR="0" simplePos="0" locked="0" layoutInCell="0" allowOverlap="1" relativeHeight="164">
            <wp:simplePos x="0" y="0"/>
            <wp:positionH relativeFrom="column">
              <wp:posOffset>310515</wp:posOffset>
            </wp:positionH>
            <wp:positionV relativeFrom="paragraph">
              <wp:posOffset>543560</wp:posOffset>
            </wp:positionV>
            <wp:extent cx="5109845" cy="2755265"/>
            <wp:effectExtent l="0" t="0" r="0" b="0"/>
            <wp:wrapSquare wrapText="largest"/>
            <wp:docPr id="86"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magine4" descr=""/>
                    <pic:cNvPicPr>
                      <a:picLocks noChangeAspect="1" noChangeArrowheads="1"/>
                    </pic:cNvPicPr>
                  </pic:nvPicPr>
                  <pic:blipFill>
                    <a:blip r:embed="rId84"/>
                    <a:stretch>
                      <a:fillRect/>
                    </a:stretch>
                  </pic:blipFill>
                  <pic:spPr bwMode="auto">
                    <a:xfrm>
                      <a:off x="0" y="0"/>
                      <a:ext cx="5109845" cy="2755265"/>
                    </a:xfrm>
                    <a:prstGeom prst="rect">
                      <a:avLst/>
                    </a:prstGeom>
                  </pic:spPr>
                </pic:pic>
              </a:graphicData>
            </a:graphic>
          </wp:anchor>
        </w:drawing>
      </w:r>
      <w:r>
        <w:rPr>
          <w:rFonts w:cs="Calibri" w:ascii="Calibri" w:hAnsi="Calibri" w:asciiTheme="minorHAnsi" w:cstheme="minorHAnsi" w:hAnsiTheme="minorHAnsi"/>
          <w:sz w:val="22"/>
          <w:szCs w:val="22"/>
        </w:rPr>
        <w:t xml:space="preserve">          </w:t>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ind w:right="-624" w:hanging="96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Corpodeltesto"/>
        <w:spacing w:lineRule="atLeast" w:line="320" w:before="0" w:after="120"/>
        <w:rPr>
          <w:rFonts w:ascii="Calibri" w:hAnsi="Calibri" w:cs="Calibri" w:asciiTheme="minorHAnsi" w:cstheme="minorHAnsi" w:hAnsiTheme="minorHAnsi"/>
          <w:sz w:val="22"/>
          <w:szCs w:val="22"/>
        </w:rPr>
      </w:pPr>
      <w:r>
        <w:rPr/>
      </w:r>
    </w:p>
    <w:sectPr>
      <w:headerReference w:type="default" r:id="rId85"/>
      <w:type w:val="nextPage"/>
      <w:pgSz w:w="11906" w:h="16838"/>
      <w:pgMar w:left="1134" w:right="1134" w:header="0" w:top="1701"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mbria">
    <w:charset w:val="00"/>
    <w:family w:val="roman"/>
    <w:pitch w:val="variable"/>
  </w:font>
  <w:font w:name="Calibri Light">
    <w:charset w:val="00"/>
    <w:family w:val="roman"/>
    <w:pitch w:val="variable"/>
  </w:font>
  <w:font w:name="Segoe UI">
    <w:charset w:val="00"/>
    <w:family w:val="roman"/>
    <w:pitch w:val="variable"/>
  </w:font>
  <w:font w:name="Calibri">
    <w:charset w:val="00"/>
    <w:family w:val="roman"/>
    <w:pitch w:val="variable"/>
  </w:font>
  <w:font w:name="Liberation Sans">
    <w:altName w:val="Arial"/>
    <w:charset w:val="00"/>
    <w:family w:val="swiss"/>
    <w:pitch w:val="variable"/>
  </w:font>
  <w:font w:name="Calibri">
    <w:charset w:val="00"/>
    <w:family w:val="auto"/>
    <w:pitch w:val="default"/>
  </w:font>
  <w:font w:name="Calibri">
    <w:charset w:val="01"/>
    <w:family w:val="swiss"/>
    <w:pitch w:val="variable"/>
  </w:font>
  <w:font w:name="Courier New">
    <w:charset w:val="01"/>
    <w:family w:val="modern"/>
    <w:pitch w:val="fixed"/>
  </w:font>
  <w:font w:name="Wingdings">
    <w:charset w:val="02"/>
    <w:family w:val="auto"/>
    <w:pitch w:val="variable"/>
  </w:font>
  <w:font w:name="Arial">
    <w:charset w:val="01"/>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r>
  </w:p>
  <w:p>
    <w:pPr>
      <w:pStyle w:val="Intestazione"/>
      <w:rPr/>
    </w:pPr>
    <w:r>
      <w:rPr/>
      <w:drawing>
        <wp:inline distT="0" distB="0" distL="0" distR="0">
          <wp:extent cx="1028700" cy="590550"/>
          <wp:effectExtent l="0" t="0" r="0" b="0"/>
          <wp:docPr id="87" name="Immagine14" descr="Logo B_N_AUSL Toscana 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magine14" descr="Logo B_N_AUSL Toscana centro"/>
                  <pic:cNvPicPr>
                    <a:picLocks noChangeAspect="1" noChangeArrowheads="1"/>
                  </pic:cNvPicPr>
                </pic:nvPicPr>
                <pic:blipFill>
                  <a:blip r:embed="rId1"/>
                  <a:stretch>
                    <a:fillRect/>
                  </a:stretch>
                </pic:blipFill>
                <pic:spPr bwMode="auto">
                  <a:xfrm>
                    <a:off x="0" y="0"/>
                    <a:ext cx="1028700" cy="590550"/>
                  </a:xfrm>
                  <a:prstGeom prst="rect">
                    <a:avLst/>
                  </a:prstGeom>
                </pic:spPr>
              </pic:pic>
            </a:graphicData>
          </a:graphic>
        </wp:inline>
      </w:drawing>
    </w:r>
  </w:p>
  <w:p>
    <w:pPr>
      <w:pStyle w:val="Intestazion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rPr>
        <w:sz w:val="28"/>
        <w:szCs w:val="28"/>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
    <w:lvl w:ilvl="0">
      <w:start w:val="1"/>
      <w:numFmt w:val="bullet"/>
      <w:lvlText w:val="-"/>
      <w:lvlJc w:val="left"/>
      <w:pPr>
        <w:tabs>
          <w:tab w:val="num" w:pos="0"/>
        </w:tabs>
        <w:ind w:left="720" w:hanging="360"/>
      </w:pPr>
      <w:rPr>
        <w:rFonts w:ascii="Calibri" w:hAnsi="Calibri" w:cs="Calibri" w:hint="default"/>
      </w:rPr>
    </w:lvl>
    <w:lvl w:ilvl="1">
      <w:start w:val="0"/>
      <w:numFmt w:val="bullet"/>
      <w:lvlText w:val="-"/>
      <w:lvlJc w:val="left"/>
      <w:pPr>
        <w:tabs>
          <w:tab w:val="num" w:pos="0"/>
        </w:tabs>
        <w:ind w:left="1440" w:hanging="360"/>
      </w:pPr>
      <w:rPr>
        <w:rFonts w:ascii="Calibri" w:hAnsi="Calibri" w:cs="Calibri" w:hint="default"/>
      </w:rPr>
    </w:lvl>
    <w:lvl w:ilvl="2">
      <w:start w:val="0"/>
      <w:numFmt w:val="bullet"/>
      <w:lvlText w:val="−"/>
      <w:lvlJc w:val="left"/>
      <w:pPr>
        <w:tabs>
          <w:tab w:val="num" w:pos="0"/>
        </w:tabs>
        <w:ind w:left="2160" w:hanging="360"/>
      </w:pPr>
      <w:rPr>
        <w:rFonts w:ascii="Calibri" w:hAnsi="Calibri" w:cs="Calibri"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numFmt w:val="bullet"/>
      <w:lvlText w:val="-"/>
      <w:lvlJc w:val="left"/>
      <w:pPr>
        <w:tabs>
          <w:tab w:val="num" w:pos="720"/>
        </w:tabs>
        <w:ind w:left="720" w:hanging="360"/>
      </w:pPr>
      <w:rPr>
        <w:rFonts w:ascii="Calibri" w:hAnsi="Calibri" w:cs="Calibri"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lvl w:ilvl="0">
      <w:start w:val="1"/>
      <w:numFmt w:val="lowerLetter"/>
      <w:lvlText w:val="%1)"/>
      <w:lvlJc w:val="left"/>
      <w:pPr>
        <w:tabs>
          <w:tab w:val="num" w:pos="0"/>
        </w:tabs>
        <w:ind w:left="2486" w:hanging="360"/>
      </w:pPr>
      <w:rPr>
        <w:rFonts w:cs="Times New Roman"/>
      </w:rPr>
    </w:lvl>
    <w:lvl w:ilvl="1">
      <w:start w:val="1"/>
      <w:numFmt w:val="lowerLetter"/>
      <w:lvlText w:val="%2."/>
      <w:lvlJc w:val="left"/>
      <w:pPr>
        <w:tabs>
          <w:tab w:val="num" w:pos="0"/>
        </w:tabs>
        <w:ind w:left="3206" w:hanging="360"/>
      </w:pPr>
      <w:rPr>
        <w:rFonts w:cs="Times New Roman"/>
      </w:rPr>
    </w:lvl>
    <w:lvl w:ilvl="2">
      <w:start w:val="1"/>
      <w:numFmt w:val="lowerRoman"/>
      <w:lvlText w:val="%3."/>
      <w:lvlJc w:val="right"/>
      <w:pPr>
        <w:tabs>
          <w:tab w:val="num" w:pos="0"/>
        </w:tabs>
        <w:ind w:left="3926" w:hanging="180"/>
      </w:pPr>
      <w:rPr>
        <w:rFonts w:cs="Times New Roman"/>
      </w:rPr>
    </w:lvl>
    <w:lvl w:ilvl="3">
      <w:start w:val="1"/>
      <w:numFmt w:val="decimal"/>
      <w:lvlText w:val="%4."/>
      <w:lvlJc w:val="left"/>
      <w:pPr>
        <w:tabs>
          <w:tab w:val="num" w:pos="0"/>
        </w:tabs>
        <w:ind w:left="4646" w:hanging="360"/>
      </w:pPr>
      <w:rPr>
        <w:rFonts w:cs="Times New Roman"/>
      </w:rPr>
    </w:lvl>
    <w:lvl w:ilvl="4">
      <w:start w:val="1"/>
      <w:numFmt w:val="lowerLetter"/>
      <w:lvlText w:val="%5."/>
      <w:lvlJc w:val="left"/>
      <w:pPr>
        <w:tabs>
          <w:tab w:val="num" w:pos="0"/>
        </w:tabs>
        <w:ind w:left="5366" w:hanging="360"/>
      </w:pPr>
      <w:rPr>
        <w:rFonts w:cs="Times New Roman"/>
      </w:rPr>
    </w:lvl>
    <w:lvl w:ilvl="5">
      <w:start w:val="1"/>
      <w:numFmt w:val="lowerRoman"/>
      <w:lvlText w:val="%6."/>
      <w:lvlJc w:val="right"/>
      <w:pPr>
        <w:tabs>
          <w:tab w:val="num" w:pos="0"/>
        </w:tabs>
        <w:ind w:left="6086" w:hanging="180"/>
      </w:pPr>
      <w:rPr>
        <w:rFonts w:cs="Times New Roman"/>
      </w:rPr>
    </w:lvl>
    <w:lvl w:ilvl="6">
      <w:start w:val="1"/>
      <w:numFmt w:val="decimal"/>
      <w:lvlText w:val="%7."/>
      <w:lvlJc w:val="left"/>
      <w:pPr>
        <w:tabs>
          <w:tab w:val="num" w:pos="0"/>
        </w:tabs>
        <w:ind w:left="6806" w:hanging="360"/>
      </w:pPr>
      <w:rPr>
        <w:rFonts w:cs="Times New Roman"/>
      </w:rPr>
    </w:lvl>
    <w:lvl w:ilvl="7">
      <w:start w:val="1"/>
      <w:numFmt w:val="lowerLetter"/>
      <w:lvlText w:val="%8."/>
      <w:lvlJc w:val="left"/>
      <w:pPr>
        <w:tabs>
          <w:tab w:val="num" w:pos="0"/>
        </w:tabs>
        <w:ind w:left="7526" w:hanging="360"/>
      </w:pPr>
      <w:rPr>
        <w:rFonts w:cs="Times New Roman"/>
      </w:rPr>
    </w:lvl>
    <w:lvl w:ilvl="8">
      <w:start w:val="1"/>
      <w:numFmt w:val="lowerRoman"/>
      <w:lvlText w:val="%9."/>
      <w:lvlJc w:val="right"/>
      <w:pPr>
        <w:tabs>
          <w:tab w:val="num" w:pos="0"/>
        </w:tabs>
        <w:ind w:left="8246" w:hanging="180"/>
      </w:pPr>
      <w:rPr>
        <w:rFonts w:cs="Times New Roman"/>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0" w:hanging="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8">
    <w:lvl w:ilvl="0">
      <w:start w:val="1"/>
      <w:numFmt w:val="bullet"/>
      <w:lvlText w:val=""/>
      <w:lvlJc w:val="left"/>
      <w:pPr>
        <w:tabs>
          <w:tab w:val="num" w:pos="0"/>
        </w:tabs>
        <w:ind w:left="0" w:hanging="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9">
    <w:lvl w:ilvl="0">
      <w:start w:val="1"/>
      <w:numFmt w:val="bullet"/>
      <w:lvlText w:val=""/>
      <w:lvlJc w:val="left"/>
      <w:pPr>
        <w:tabs>
          <w:tab w:val="num" w:pos="0"/>
        </w:tabs>
        <w:ind w:left="0" w:hanging="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lvl w:ilvl="0">
      <w:numFmt w:val="bullet"/>
      <w:lvlText w:val="−"/>
      <w:lvlJc w:val="left"/>
      <w:pPr>
        <w:tabs>
          <w:tab w:val="num" w:pos="0"/>
        </w:tabs>
        <w:ind w:left="720" w:hanging="360"/>
      </w:pPr>
      <w:rPr>
        <w:rFonts w:ascii="Calibri" w:hAnsi="Calibri" w:cs="Calibri" w:hint="default"/>
      </w:rPr>
    </w:lvl>
    <w:lvl w:ilvl="1">
      <w:start w:val="1"/>
      <w:numFmt w:val="lowerLetter"/>
      <w:lvlText w:val="%2."/>
      <w:lvlJc w:val="left"/>
      <w:pPr>
        <w:tabs>
          <w:tab w:val="num" w:pos="0"/>
        </w:tabs>
        <w:ind w:left="1440" w:hanging="360"/>
      </w:pPr>
    </w:lvl>
    <w:lvl w:ilvl="2">
      <w:start w:val="0"/>
      <w:numFmt w:val="bullet"/>
      <w:lvlText w:val="−"/>
      <w:lvlJc w:val="left"/>
      <w:pPr>
        <w:tabs>
          <w:tab w:val="num" w:pos="0"/>
        </w:tabs>
        <w:ind w:left="2340" w:hanging="360"/>
      </w:pPr>
      <w:rPr>
        <w:rFonts w:ascii="Calibri" w:hAnsi="Calibri" w:cs="Calibri"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lvl w:ilvl="0">
      <w:start w:val="1"/>
      <w:numFmt w:val="decimal"/>
      <w:lvlText w:val="%1)"/>
      <w:lvlJc w:val="left"/>
      <w:pPr>
        <w:tabs>
          <w:tab w:val="num" w:pos="0"/>
        </w:tabs>
        <w:ind w:left="218" w:hanging="360"/>
      </w:pPr>
    </w:lvl>
    <w:lvl w:ilvl="1">
      <w:start w:val="1"/>
      <w:numFmt w:val="lowerLetter"/>
      <w:lvlText w:val="%2."/>
      <w:lvlJc w:val="left"/>
      <w:pPr>
        <w:tabs>
          <w:tab w:val="num" w:pos="0"/>
        </w:tabs>
        <w:ind w:left="938" w:hanging="360"/>
      </w:pPr>
    </w:lvl>
    <w:lvl w:ilvl="2">
      <w:start w:val="1"/>
      <w:numFmt w:val="lowerRoman"/>
      <w:lvlText w:val="%3."/>
      <w:lvlJc w:val="right"/>
      <w:pPr>
        <w:tabs>
          <w:tab w:val="num" w:pos="0"/>
        </w:tabs>
        <w:ind w:left="1658" w:hanging="180"/>
      </w:pPr>
    </w:lvl>
    <w:lvl w:ilvl="3">
      <w:start w:val="1"/>
      <w:numFmt w:val="decimal"/>
      <w:lvlText w:val="%4."/>
      <w:lvlJc w:val="left"/>
      <w:pPr>
        <w:tabs>
          <w:tab w:val="num" w:pos="0"/>
        </w:tabs>
        <w:ind w:left="2378" w:hanging="360"/>
      </w:pPr>
    </w:lvl>
    <w:lvl w:ilvl="4">
      <w:start w:val="1"/>
      <w:numFmt w:val="lowerLetter"/>
      <w:lvlText w:val="%5."/>
      <w:lvlJc w:val="left"/>
      <w:pPr>
        <w:tabs>
          <w:tab w:val="num" w:pos="0"/>
        </w:tabs>
        <w:ind w:left="3098" w:hanging="360"/>
      </w:pPr>
    </w:lvl>
    <w:lvl w:ilvl="5">
      <w:start w:val="1"/>
      <w:numFmt w:val="lowerRoman"/>
      <w:lvlText w:val="%6."/>
      <w:lvlJc w:val="right"/>
      <w:pPr>
        <w:tabs>
          <w:tab w:val="num" w:pos="0"/>
        </w:tabs>
        <w:ind w:left="3818" w:hanging="180"/>
      </w:pPr>
    </w:lvl>
    <w:lvl w:ilvl="6">
      <w:start w:val="1"/>
      <w:numFmt w:val="decimal"/>
      <w:lvlText w:val="%7."/>
      <w:lvlJc w:val="left"/>
      <w:pPr>
        <w:tabs>
          <w:tab w:val="num" w:pos="0"/>
        </w:tabs>
        <w:ind w:left="4538" w:hanging="360"/>
      </w:pPr>
    </w:lvl>
    <w:lvl w:ilvl="7">
      <w:start w:val="1"/>
      <w:numFmt w:val="lowerLetter"/>
      <w:lvlText w:val="%8."/>
      <w:lvlJc w:val="left"/>
      <w:pPr>
        <w:tabs>
          <w:tab w:val="num" w:pos="0"/>
        </w:tabs>
        <w:ind w:left="5258" w:hanging="360"/>
      </w:pPr>
    </w:lvl>
    <w:lvl w:ilvl="8">
      <w:start w:val="1"/>
      <w:numFmt w:val="lowerRoman"/>
      <w:lvlText w:val="%9."/>
      <w:lvlJc w:val="right"/>
      <w:pPr>
        <w:tabs>
          <w:tab w:val="num" w:pos="0"/>
        </w:tabs>
        <w:ind w:left="5978" w:hanging="180"/>
      </w:pPr>
    </w:lvl>
  </w:abstractNum>
  <w:abstractNum w:abstractNumId="20">
    <w:lvl w:ilvl="0">
      <w:start w:val="1"/>
      <w:numFmt w:val="lowerLetter"/>
      <w:lvlText w:val="%1)"/>
      <w:lvlJc w:val="left"/>
      <w:pPr>
        <w:tabs>
          <w:tab w:val="num" w:pos="0"/>
        </w:tabs>
        <w:ind w:left="218" w:hanging="360"/>
      </w:pPr>
    </w:lvl>
    <w:lvl w:ilvl="1">
      <w:start w:val="1"/>
      <w:numFmt w:val="lowerLetter"/>
      <w:lvlText w:val="%2."/>
      <w:lvlJc w:val="left"/>
      <w:pPr>
        <w:tabs>
          <w:tab w:val="num" w:pos="0"/>
        </w:tabs>
        <w:ind w:left="938" w:hanging="360"/>
      </w:pPr>
    </w:lvl>
    <w:lvl w:ilvl="2">
      <w:start w:val="1"/>
      <w:numFmt w:val="lowerRoman"/>
      <w:lvlText w:val="%3."/>
      <w:lvlJc w:val="right"/>
      <w:pPr>
        <w:tabs>
          <w:tab w:val="num" w:pos="0"/>
        </w:tabs>
        <w:ind w:left="1658" w:hanging="180"/>
      </w:pPr>
    </w:lvl>
    <w:lvl w:ilvl="3">
      <w:start w:val="1"/>
      <w:numFmt w:val="decimal"/>
      <w:lvlText w:val="%4."/>
      <w:lvlJc w:val="left"/>
      <w:pPr>
        <w:tabs>
          <w:tab w:val="num" w:pos="0"/>
        </w:tabs>
        <w:ind w:left="2378" w:hanging="360"/>
      </w:pPr>
    </w:lvl>
    <w:lvl w:ilvl="4">
      <w:start w:val="1"/>
      <w:numFmt w:val="lowerLetter"/>
      <w:lvlText w:val="%5."/>
      <w:lvlJc w:val="left"/>
      <w:pPr>
        <w:tabs>
          <w:tab w:val="num" w:pos="0"/>
        </w:tabs>
        <w:ind w:left="3098" w:hanging="360"/>
      </w:pPr>
    </w:lvl>
    <w:lvl w:ilvl="5">
      <w:start w:val="1"/>
      <w:numFmt w:val="lowerRoman"/>
      <w:lvlText w:val="%6."/>
      <w:lvlJc w:val="right"/>
      <w:pPr>
        <w:tabs>
          <w:tab w:val="num" w:pos="0"/>
        </w:tabs>
        <w:ind w:left="3818" w:hanging="180"/>
      </w:pPr>
    </w:lvl>
    <w:lvl w:ilvl="6">
      <w:start w:val="1"/>
      <w:numFmt w:val="decimal"/>
      <w:lvlText w:val="%7."/>
      <w:lvlJc w:val="left"/>
      <w:pPr>
        <w:tabs>
          <w:tab w:val="num" w:pos="0"/>
        </w:tabs>
        <w:ind w:left="4538" w:hanging="360"/>
      </w:pPr>
    </w:lvl>
    <w:lvl w:ilvl="7">
      <w:start w:val="1"/>
      <w:numFmt w:val="lowerLetter"/>
      <w:lvlText w:val="%8."/>
      <w:lvlJc w:val="left"/>
      <w:pPr>
        <w:tabs>
          <w:tab w:val="num" w:pos="0"/>
        </w:tabs>
        <w:ind w:left="5258" w:hanging="360"/>
      </w:pPr>
    </w:lvl>
    <w:lvl w:ilvl="8">
      <w:start w:val="1"/>
      <w:numFmt w:val="lowerRoman"/>
      <w:lvlText w:val="%9."/>
      <w:lvlJc w:val="right"/>
      <w:pPr>
        <w:tabs>
          <w:tab w:val="num" w:pos="0"/>
        </w:tabs>
        <w:ind w:left="5978" w:hanging="180"/>
      </w:pPr>
    </w:lvl>
  </w:abstractNum>
  <w:abstractNum w:abstractNumId="2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it-IT" w:eastAsia="it-IT" w:bidi="ar-SA"/>
      </w:rPr>
    </w:rPrDefault>
    <w:pPrDefault>
      <w:pPr>
        <w:suppressAutoHyphens w:val="true"/>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semiHidden="1" w:unhideWhenUsed="1"/>
    <w:lsdException w:name="toc 2" w:locked="1" w:uiPriority="39" w:semiHidden="1" w:unhideWhenUsed="1"/>
    <w:lsdException w:name="toc 3" w:locked="1" w:uiPriority="0"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locked="1" w:uiPriority="0" w:semiHidden="1" w:unhideWhenUsed="1"/>
    <w:lsdException w:name="header" w:semiHidden="1" w:unhideWhenUsed="1"/>
    <w:lsdException w:name="footer" w:locked="1"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uiPriority="0" w:semiHidden="1" w:unhideWhenUsed="1"/>
    <w:lsdException w:name="Strong" w:locked="1"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locked="1" w:uiPriority="0"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semiHidden="1" w:unhideWhenUsed="1"/>
    <w:lsdException w:name="annotation subject" w:locked="1" w:uiPriority="0" w:semiHidden="1" w:unhideWhenUsed="1"/>
    <w:lsdException w:name="No List" w:locked="1" w:uiPriority="0" w:semiHidden="1" w:unhideWhenUsed="1"/>
    <w:lsdException w:name="Outline List 1" w:locked="1" w:uiPriority="0" w:semiHidden="1" w:unhideWhenUsed="1"/>
    <w:lsdException w:name="Outline List 2" w:locked="1" w:uiPriority="0" w:semiHidden="1" w:unhideWhenUsed="1"/>
    <w:lsdException w:name="Outline List 3" w:locked="1" w:uiPriority="0" w:semiHidden="1" w:unhideWhenUsed="1"/>
    <w:lsdException w:name="Table Simple 1" w:locked="1" w:uiPriority="0" w:semiHidden="1" w:unhideWhenUsed="1"/>
    <w:lsdException w:name="Table Simple 2" w:locked="1" w:uiPriority="0" w:semiHidden="1" w:unhideWhenUsed="1"/>
    <w:lsdException w:name="Table Simple 3" w:locked="1" w:uiPriority="0" w:semiHidden="1" w:unhideWhenUsed="1"/>
    <w:lsdException w:name="Table Classic 1" w:locked="1" w:uiPriority="0" w:semiHidden="1" w:unhideWhenUsed="1"/>
    <w:lsdException w:name="Table Classic 2" w:locked="1" w:uiPriority="0" w:semiHidden="1" w:unhideWhenUsed="1"/>
    <w:lsdException w:name="Table Classic 3" w:locked="1" w:uiPriority="0" w:semiHidden="1" w:unhideWhenUsed="1"/>
    <w:lsdException w:name="Table Classic 4" w:locked="1" w:uiPriority="0" w:semiHidden="1" w:unhideWhenUsed="1"/>
    <w:lsdException w:name="Table Colorful 1" w:locked="1" w:uiPriority="0" w:semiHidden="1" w:unhideWhenUsed="1"/>
    <w:lsdException w:name="Table Colorful 2" w:locked="1" w:uiPriority="0" w:semiHidden="1" w:unhideWhenUsed="1"/>
    <w:lsdException w:name="Table Colorful 3" w:locked="1" w:uiPriority="0" w:semiHidden="1" w:unhideWhenUsed="1"/>
    <w:lsdException w:name="Table Columns 1" w:locked="1" w:uiPriority="0" w:semiHidden="1" w:unhideWhenUsed="1"/>
    <w:lsdException w:name="Table Columns 2" w:locked="1" w:uiPriority="0" w:semiHidden="1" w:unhideWhenUsed="1"/>
    <w:lsdException w:name="Table Columns 3" w:locked="1" w:uiPriority="0" w:semiHidden="1" w:unhideWhenUsed="1"/>
    <w:lsdException w:name="Table Columns 4" w:locked="1" w:uiPriority="0" w:semiHidden="1" w:unhideWhenUsed="1"/>
    <w:lsdException w:name="Table Columns 5" w:locked="1" w:uiPriority="0" w:semiHidden="1" w:unhideWhenUsed="1"/>
    <w:lsdException w:name="Table Grid 1" w:locked="1" w:uiPriority="0" w:semiHidden="1" w:unhideWhenUsed="1"/>
    <w:lsdException w:name="Table Grid 2" w:locked="1" w:uiPriority="0" w:semiHidden="1" w:unhideWhenUsed="1"/>
    <w:lsdException w:name="Table Grid 3" w:locked="1" w:uiPriority="0" w:semiHidden="1" w:unhideWhenUsed="1"/>
    <w:lsdException w:name="Table Grid 4" w:locked="1" w:uiPriority="0" w:semiHidden="1" w:unhideWhenUsed="1"/>
    <w:lsdException w:name="Table Grid 5" w:locked="1" w:uiPriority="0" w:semiHidden="1" w:unhideWhenUsed="1"/>
    <w:lsdException w:name="Table Grid 6" w:locked="1" w:uiPriority="0" w:semiHidden="1" w:unhideWhenUsed="1"/>
    <w:lsdException w:name="Table Grid 7" w:locked="1" w:uiPriority="0" w:semiHidden="1" w:unhideWhenUsed="1"/>
    <w:lsdException w:name="Table Grid 8" w:locked="1" w:uiPriority="0" w:semiHidden="1" w:unhideWhenUsed="1"/>
    <w:lsdException w:name="Table List 1" w:locked="1" w:uiPriority="0" w:semiHidden="1" w:unhideWhenUsed="1"/>
    <w:lsdException w:name="Table List 2" w:locked="1" w:uiPriority="0" w:semiHidden="1" w:unhideWhenUsed="1"/>
    <w:lsdException w:name="Table List 3" w:locked="1" w:uiPriority="0" w:semiHidden="1" w:unhideWhenUsed="1"/>
    <w:lsdException w:name="Table List 4" w:locked="1" w:uiPriority="0" w:semiHidden="1" w:unhideWhenUsed="1"/>
    <w:lsdException w:name="Table List 5" w:locked="1" w:uiPriority="0" w:semiHidden="1" w:unhideWhenUsed="1"/>
    <w:lsdException w:name="Table List 6" w:locked="1" w:uiPriority="0" w:semiHidden="1" w:unhideWhenUsed="1"/>
    <w:lsdException w:name="Table List 7" w:locked="1" w:uiPriority="0" w:semiHidden="1" w:unhideWhenUsed="1"/>
    <w:lsdException w:name="Table List 8" w:locked="1" w:uiPriority="0" w:semiHidden="1" w:unhideWhenUsed="1"/>
    <w:lsdException w:name="Table 3D effects 1" w:locked="1" w:uiPriority="0" w:semiHidden="1" w:unhideWhenUsed="1"/>
    <w:lsdException w:name="Table 3D effects 2" w:locked="1" w:uiPriority="0" w:semiHidden="1" w:unhideWhenUsed="1"/>
    <w:lsdException w:name="Table 3D effects 3" w:locked="1" w:uiPriority="0" w:semiHidden="1" w:unhideWhenUsed="1"/>
    <w:lsdException w:name="Table Contemporary" w:locked="1" w:uiPriority="0" w:semiHidden="1" w:unhideWhenUsed="1"/>
    <w:lsdException w:name="Table Elegant" w:locked="1" w:uiPriority="0" w:semiHidden="1" w:unhideWhenUsed="1"/>
    <w:lsdException w:name="Table Professional" w:locked="1" w:uiPriority="0" w:semiHidden="1" w:unhideWhenUsed="1"/>
    <w:lsdException w:name="Table Subtle 1" w:locked="1" w:uiPriority="0" w:semiHidden="1" w:unhideWhenUsed="1"/>
    <w:lsdException w:name="Table Subtle 2" w:locked="1" w:uiPriority="0" w:semiHidden="1" w:unhideWhenUsed="1"/>
    <w:lsdException w:name="Table Web 1" w:locked="1" w:uiPriority="0" w:semiHidden="1" w:unhideWhenUsed="1"/>
    <w:lsdException w:name="Table Web 2" w:locked="1" w:uiPriority="0" w:semiHidden="1" w:unhideWhenUsed="1"/>
    <w:lsdException w:name="Table Web 3" w:locked="1" w:uiPriority="0" w:semiHidden="1" w:unhideWhenUsed="1"/>
    <w:lsdException w:name="Balloon Text" w:locked="1" w:uiPriority="0"/>
    <w:lsdException w:name="Table Grid" w:locked="1" w:uiPriority="39"/>
    <w:lsdException w:name="Table Theme" w:locked="1" w:uiPriority="0"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8128f"/>
    <w:pPr>
      <w:widowControl/>
      <w:suppressAutoHyphens w:val="tru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Titolo1">
    <w:name w:val="Heading 1"/>
    <w:basedOn w:val="Normal"/>
    <w:next w:val="Normal"/>
    <w:link w:val="Titolo1Carattere"/>
    <w:uiPriority w:val="99"/>
    <w:qFormat/>
    <w:pPr>
      <w:keepNext w:val="true"/>
      <w:jc w:val="both"/>
      <w:outlineLvl w:val="0"/>
    </w:pPr>
    <w:rPr>
      <w:b/>
      <w:szCs w:val="20"/>
    </w:rPr>
  </w:style>
  <w:style w:type="paragraph" w:styleId="Titolo2">
    <w:name w:val="Heading 2"/>
    <w:basedOn w:val="Normal"/>
    <w:next w:val="Normal"/>
    <w:link w:val="Titolo2Carattere"/>
    <w:uiPriority w:val="99"/>
    <w:qFormat/>
    <w:pPr>
      <w:keepNext w:val="true"/>
      <w:spacing w:before="240" w:after="60"/>
      <w:outlineLvl w:val="1"/>
    </w:pPr>
    <w:rPr>
      <w:rFonts w:ascii="Arial" w:hAnsi="Arial" w:cs="Arial"/>
      <w:b/>
      <w:bCs/>
      <w:i/>
      <w:iCs/>
      <w:sz w:val="28"/>
      <w:szCs w:val="28"/>
    </w:rPr>
  </w:style>
  <w:style w:type="paragraph" w:styleId="Titolo3">
    <w:name w:val="Heading 3"/>
    <w:basedOn w:val="Normal"/>
    <w:next w:val="Normal"/>
    <w:link w:val="Titolo3Carattere"/>
    <w:unhideWhenUsed/>
    <w:qFormat/>
    <w:locked/>
    <w:rsid w:val="00ed7a77"/>
    <w:pPr>
      <w:keepNext w:val="true"/>
      <w:spacing w:before="240" w:after="60"/>
      <w:outlineLvl w:val="2"/>
    </w:pPr>
    <w:rPr>
      <w:rFonts w:ascii="Cambria" w:hAnsi="Cambria"/>
      <w:b/>
      <w:bCs/>
      <w:sz w:val="26"/>
      <w:szCs w:val="26"/>
    </w:rPr>
  </w:style>
  <w:style w:type="paragraph" w:styleId="Titolo4">
    <w:name w:val="Heading 4"/>
    <w:basedOn w:val="Normal"/>
    <w:next w:val="Normal"/>
    <w:link w:val="Titolo4Carattere"/>
    <w:semiHidden/>
    <w:unhideWhenUsed/>
    <w:qFormat/>
    <w:locked/>
    <w:rsid w:val="00154be2"/>
    <w:pPr>
      <w:keepNext w:val="true"/>
      <w:keepLines/>
      <w:spacing w:before="40" w:after="0"/>
      <w:outlineLvl w:val="3"/>
    </w:pPr>
    <w:rPr>
      <w:rFonts w:ascii="Cambria" w:hAnsi="Cambria" w:eastAsia="" w:cs="" w:asciiTheme="majorHAnsi" w:cstheme="majorBidi" w:eastAsiaTheme="majorEastAsia" w:hAnsiTheme="majorHAnsi"/>
      <w:i/>
      <w:iCs/>
      <w:color w:val="365F91" w:themeColor="accent1" w:themeShade="bf"/>
    </w:rPr>
  </w:style>
  <w:style w:type="character" w:styleId="DefaultParagraphFont" w:default="1">
    <w:name w:val="Default Paragraph Font"/>
    <w:uiPriority w:val="1"/>
    <w:semiHidden/>
    <w:unhideWhenUsed/>
    <w:qFormat/>
    <w:rPr/>
  </w:style>
  <w:style w:type="character" w:styleId="Titolo1Carattere" w:customStyle="1">
    <w:name w:val="Titolo 1 Carattere"/>
    <w:link w:val="Titolo1"/>
    <w:uiPriority w:val="99"/>
    <w:qFormat/>
    <w:locked/>
    <w:rPr>
      <w:b/>
      <w:sz w:val="24"/>
      <w:lang w:val="it-IT" w:eastAsia="it-IT"/>
    </w:rPr>
  </w:style>
  <w:style w:type="character" w:styleId="Titolo2Carattere" w:customStyle="1">
    <w:name w:val="Titolo 2 Carattere"/>
    <w:link w:val="Titolo2"/>
    <w:uiPriority w:val="9"/>
    <w:semiHidden/>
    <w:qFormat/>
    <w:rsid w:val="002410ff"/>
    <w:rPr>
      <w:rFonts w:ascii="Cambria" w:hAnsi="Cambria" w:eastAsia="Times New Roman" w:cs="Times New Roman"/>
      <w:b/>
      <w:bCs/>
      <w:i/>
      <w:iCs/>
      <w:sz w:val="28"/>
      <w:szCs w:val="28"/>
    </w:rPr>
  </w:style>
  <w:style w:type="character" w:styleId="CollegamentoInternet">
    <w:name w:val="Collegamento Internet"/>
    <w:basedOn w:val="DefaultParagraphFont"/>
    <w:uiPriority w:val="99"/>
    <w:unhideWhenUsed/>
    <w:locked/>
    <w:rsid w:val="00545df0"/>
    <w:rPr>
      <w:color w:val="0000FF" w:themeColor="hyperlink"/>
      <w:u w:val="single"/>
    </w:rPr>
  </w:style>
  <w:style w:type="character" w:styleId="SottotitoloCarattere" w:customStyle="1">
    <w:name w:val="Sottotitolo Carattere"/>
    <w:link w:val="Sottotitolo"/>
    <w:uiPriority w:val="99"/>
    <w:qFormat/>
    <w:locked/>
    <w:rPr>
      <w:rFonts w:ascii="Calibri Light" w:hAnsi="Calibri Light"/>
      <w:sz w:val="24"/>
    </w:rPr>
  </w:style>
  <w:style w:type="character" w:styleId="TitoloCarattere" w:customStyle="1">
    <w:name w:val="Titolo Carattere"/>
    <w:link w:val="Titolo"/>
    <w:uiPriority w:val="99"/>
    <w:qFormat/>
    <w:locked/>
    <w:rPr>
      <w:rFonts w:ascii="Calibri Light" w:hAnsi="Calibri Light"/>
      <w:b/>
      <w:kern w:val="2"/>
      <w:sz w:val="32"/>
    </w:rPr>
  </w:style>
  <w:style w:type="character" w:styleId="Strong">
    <w:name w:val="Strong"/>
    <w:uiPriority w:val="99"/>
    <w:qFormat/>
    <w:rPr>
      <w:rFonts w:cs="Times New Roman"/>
      <w:b/>
    </w:rPr>
  </w:style>
  <w:style w:type="character" w:styleId="IntestazioneCarattere" w:customStyle="1">
    <w:name w:val="Intestazione Carattere"/>
    <w:link w:val="Intestazione"/>
    <w:uiPriority w:val="99"/>
    <w:qFormat/>
    <w:locked/>
    <w:rPr>
      <w:rFonts w:cs="Times New Roman"/>
      <w:sz w:val="24"/>
      <w:szCs w:val="24"/>
      <w:lang w:eastAsia="it-IT"/>
    </w:rPr>
  </w:style>
  <w:style w:type="character" w:styleId="PidipaginaCarattere" w:customStyle="1">
    <w:name w:val="Piè di pagina Carattere"/>
    <w:link w:val="Pidipagina"/>
    <w:uiPriority w:val="99"/>
    <w:qFormat/>
    <w:locked/>
    <w:rPr>
      <w:rFonts w:cs="Times New Roman"/>
      <w:sz w:val="24"/>
      <w:szCs w:val="24"/>
      <w:lang w:eastAsia="it-IT"/>
    </w:rPr>
  </w:style>
  <w:style w:type="character" w:styleId="Annotationreference">
    <w:name w:val="annotation reference"/>
    <w:uiPriority w:val="99"/>
    <w:qFormat/>
    <w:rPr>
      <w:rFonts w:cs="Times New Roman"/>
      <w:sz w:val="16"/>
      <w:szCs w:val="16"/>
    </w:rPr>
  </w:style>
  <w:style w:type="character" w:styleId="TestocommentoCarattere" w:customStyle="1">
    <w:name w:val="Testo commento Carattere"/>
    <w:link w:val="Testocommento"/>
    <w:uiPriority w:val="99"/>
    <w:qFormat/>
    <w:locked/>
    <w:rPr>
      <w:rFonts w:cs="Times New Roman"/>
      <w:lang w:eastAsia="it-IT"/>
    </w:rPr>
  </w:style>
  <w:style w:type="character" w:styleId="SoggettocommentoCarattere" w:customStyle="1">
    <w:name w:val="Soggetto commento Carattere"/>
    <w:link w:val="Soggettocommento"/>
    <w:uiPriority w:val="99"/>
    <w:qFormat/>
    <w:locked/>
    <w:rPr>
      <w:rFonts w:cs="Times New Roman"/>
      <w:b/>
      <w:bCs/>
      <w:lang w:eastAsia="it-IT"/>
    </w:rPr>
  </w:style>
  <w:style w:type="character" w:styleId="Saltoaindice" w:customStyle="1">
    <w:name w:val="Salto a indice"/>
    <w:uiPriority w:val="99"/>
    <w:qFormat/>
    <w:rsid w:val="005c05ae"/>
    <w:rPr/>
  </w:style>
  <w:style w:type="character" w:styleId="TitleChar1" w:customStyle="1">
    <w:name w:val="Title Char1"/>
    <w:uiPriority w:val="10"/>
    <w:qFormat/>
    <w:rsid w:val="002410ff"/>
    <w:rPr>
      <w:rFonts w:ascii="Cambria" w:hAnsi="Cambria" w:eastAsia="Times New Roman" w:cs="Times New Roman"/>
      <w:b/>
      <w:bCs/>
      <w:kern w:val="2"/>
      <w:sz w:val="32"/>
      <w:szCs w:val="32"/>
    </w:rPr>
  </w:style>
  <w:style w:type="character" w:styleId="CorpotestoCarattere" w:customStyle="1">
    <w:name w:val="Corpo testo Carattere"/>
    <w:link w:val="Corpotesto"/>
    <w:uiPriority w:val="99"/>
    <w:semiHidden/>
    <w:qFormat/>
    <w:rsid w:val="002410ff"/>
    <w:rPr>
      <w:sz w:val="24"/>
      <w:szCs w:val="24"/>
    </w:rPr>
  </w:style>
  <w:style w:type="character" w:styleId="SubtitleChar1" w:customStyle="1">
    <w:name w:val="Subtitle Char1"/>
    <w:uiPriority w:val="11"/>
    <w:qFormat/>
    <w:rsid w:val="002410ff"/>
    <w:rPr>
      <w:rFonts w:ascii="Cambria" w:hAnsi="Cambria" w:eastAsia="Times New Roman" w:cs="Times New Roman"/>
      <w:sz w:val="24"/>
      <w:szCs w:val="24"/>
    </w:rPr>
  </w:style>
  <w:style w:type="character" w:styleId="HeaderChar1" w:customStyle="1">
    <w:name w:val="Header Char1"/>
    <w:uiPriority w:val="99"/>
    <w:semiHidden/>
    <w:qFormat/>
    <w:rsid w:val="002410ff"/>
    <w:rPr>
      <w:sz w:val="24"/>
      <w:szCs w:val="24"/>
    </w:rPr>
  </w:style>
  <w:style w:type="character" w:styleId="FooterChar1" w:customStyle="1">
    <w:name w:val="Footer Char1"/>
    <w:uiPriority w:val="99"/>
    <w:semiHidden/>
    <w:qFormat/>
    <w:rsid w:val="002410ff"/>
    <w:rPr>
      <w:sz w:val="24"/>
      <w:szCs w:val="24"/>
    </w:rPr>
  </w:style>
  <w:style w:type="character" w:styleId="CommentTextChar1" w:customStyle="1">
    <w:name w:val="Comment Text Char1"/>
    <w:uiPriority w:val="99"/>
    <w:semiHidden/>
    <w:qFormat/>
    <w:rsid w:val="002410ff"/>
    <w:rPr>
      <w:sz w:val="20"/>
      <w:szCs w:val="20"/>
    </w:rPr>
  </w:style>
  <w:style w:type="character" w:styleId="CommentSubjectChar1" w:customStyle="1">
    <w:name w:val="Comment Subject Char1"/>
    <w:uiPriority w:val="99"/>
    <w:semiHidden/>
    <w:qFormat/>
    <w:rsid w:val="002410ff"/>
    <w:rPr>
      <w:rFonts w:cs="Times New Roman"/>
      <w:b/>
      <w:bCs/>
      <w:sz w:val="20"/>
      <w:szCs w:val="20"/>
      <w:lang w:eastAsia="it-IT"/>
    </w:rPr>
  </w:style>
  <w:style w:type="character" w:styleId="TestofumettoCarattere" w:customStyle="1">
    <w:name w:val="Testo fumetto Carattere"/>
    <w:link w:val="Testofumetto"/>
    <w:uiPriority w:val="99"/>
    <w:semiHidden/>
    <w:qFormat/>
    <w:locked/>
    <w:rsid w:val="00873d2e"/>
    <w:rPr>
      <w:rFonts w:ascii="Segoe UI" w:hAnsi="Segoe UI" w:cs="Segoe UI"/>
      <w:sz w:val="18"/>
      <w:szCs w:val="18"/>
      <w:lang w:eastAsia="it-IT"/>
    </w:rPr>
  </w:style>
  <w:style w:type="character" w:styleId="TestonormaleCarattere" w:customStyle="1">
    <w:name w:val="Testo normale Carattere"/>
    <w:link w:val="Testonormale"/>
    <w:uiPriority w:val="99"/>
    <w:qFormat/>
    <w:locked/>
    <w:rsid w:val="00fd0781"/>
    <w:rPr>
      <w:rFonts w:ascii="Calibri" w:hAnsi="Calibri" w:eastAsia="Times New Roman" w:cs="Arial"/>
      <w:sz w:val="21"/>
      <w:szCs w:val="21"/>
      <w:lang w:eastAsia="en-US"/>
    </w:rPr>
  </w:style>
  <w:style w:type="character" w:styleId="Titolo3Carattere" w:customStyle="1">
    <w:name w:val="Titolo 3 Carattere"/>
    <w:link w:val="Titolo3"/>
    <w:qFormat/>
    <w:rsid w:val="00ed7a77"/>
    <w:rPr>
      <w:rFonts w:ascii="Cambria" w:hAnsi="Cambria" w:eastAsia="Times New Roman" w:cs="Times New Roman"/>
      <w:b/>
      <w:bCs/>
      <w:sz w:val="26"/>
      <w:szCs w:val="26"/>
    </w:rPr>
  </w:style>
  <w:style w:type="character" w:styleId="Titolo4Carattere" w:customStyle="1">
    <w:name w:val="Titolo 4 Carattere"/>
    <w:basedOn w:val="DefaultParagraphFont"/>
    <w:link w:val="Titolo4"/>
    <w:semiHidden/>
    <w:qFormat/>
    <w:rsid w:val="00154be2"/>
    <w:rPr>
      <w:rFonts w:ascii="Cambria" w:hAnsi="Cambria" w:eastAsia="" w:cs="" w:asciiTheme="majorHAnsi" w:cstheme="majorBidi" w:eastAsiaTheme="majorEastAsia" w:hAnsiTheme="majorHAnsi"/>
      <w:i/>
      <w:iCs/>
      <w:color w:val="365F91" w:themeColor="accent1" w:themeShade="bf"/>
      <w:sz w:val="24"/>
      <w:szCs w:val="24"/>
    </w:rPr>
  </w:style>
  <w:style w:type="character" w:styleId="Enfasi" w:customStyle="1">
    <w:name w:val="Enfasi"/>
    <w:basedOn w:val="DefaultParagraphFont"/>
    <w:uiPriority w:val="20"/>
    <w:qFormat/>
    <w:locked/>
    <w:rsid w:val="006957c2"/>
    <w:rPr>
      <w:i/>
      <w:iCs/>
    </w:rPr>
  </w:style>
  <w:style w:type="character" w:styleId="Object" w:customStyle="1">
    <w:name w:val="object"/>
    <w:basedOn w:val="DefaultParagraphFont"/>
    <w:qFormat/>
    <w:rsid w:val="006957c2"/>
    <w:rPr/>
  </w:style>
  <w:style w:type="character" w:styleId="Enfasiforte" w:customStyle="1">
    <w:name w:val="Enfasi forte"/>
    <w:qFormat/>
    <w:rsid w:val="003f543b"/>
    <w:rPr>
      <w:b/>
      <w:bCs/>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Normal"/>
    <w:link w:val="CorpotestoCarattere"/>
    <w:uiPriority w:val="99"/>
    <w:rsid w:val="005c05ae"/>
    <w:pPr>
      <w:spacing w:lineRule="auto" w:line="276" w:before="0" w:after="140"/>
    </w:pPr>
    <w:rPr/>
  </w:style>
  <w:style w:type="paragraph" w:styleId="Elenco">
    <w:name w:val="List"/>
    <w:basedOn w:val="Corpodeltesto"/>
    <w:uiPriority w:val="99"/>
    <w:rsid w:val="005c05ae"/>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customStyle="1">
    <w:name w:val="Indice"/>
    <w:basedOn w:val="Normal"/>
    <w:uiPriority w:val="99"/>
    <w:qFormat/>
    <w:rsid w:val="005c05ae"/>
    <w:pPr>
      <w:suppressLineNumbers/>
    </w:pPr>
    <w:rPr>
      <w:rFonts w:cs="Lucida Sans"/>
    </w:rPr>
  </w:style>
  <w:style w:type="paragraph" w:styleId="Titoloprincipale">
    <w:name w:val="Title"/>
    <w:basedOn w:val="Normal"/>
    <w:next w:val="Corpodeltesto"/>
    <w:link w:val="TitoloCarattere"/>
    <w:uiPriority w:val="99"/>
    <w:qFormat/>
    <w:pPr>
      <w:spacing w:before="240" w:after="60"/>
      <w:jc w:val="center"/>
      <w:outlineLvl w:val="0"/>
    </w:pPr>
    <w:rPr>
      <w:rFonts w:ascii="Calibri Light" w:hAnsi="Calibri Light"/>
      <w:b/>
      <w:bCs/>
      <w:kern w:val="2"/>
      <w:sz w:val="32"/>
      <w:szCs w:val="32"/>
    </w:rPr>
  </w:style>
  <w:style w:type="paragraph" w:styleId="Caption">
    <w:name w:val="caption"/>
    <w:basedOn w:val="Normal"/>
    <w:uiPriority w:val="99"/>
    <w:qFormat/>
    <w:rsid w:val="005c05ae"/>
    <w:pPr>
      <w:suppressLineNumbers/>
      <w:spacing w:before="120" w:after="120"/>
    </w:pPr>
    <w:rPr>
      <w:rFonts w:cs="Lucida Sans"/>
      <w:i/>
      <w:iCs/>
    </w:rPr>
  </w:style>
  <w:style w:type="paragraph" w:styleId="ListParagraph">
    <w:name w:val="List Paragraph"/>
    <w:basedOn w:val="Normal"/>
    <w:uiPriority w:val="1"/>
    <w:qFormat/>
    <w:pPr>
      <w:widowControl w:val="false"/>
      <w:spacing w:before="20" w:after="0"/>
      <w:ind w:left="656" w:hanging="543"/>
    </w:pPr>
    <w:rPr>
      <w:rFonts w:ascii="Arial" w:hAnsi="Arial" w:cs="Arial"/>
      <w:sz w:val="22"/>
      <w:szCs w:val="22"/>
      <w:lang w:val="en-US" w:eastAsia="en-US"/>
    </w:rPr>
  </w:style>
  <w:style w:type="paragraph" w:styleId="NormalWeb">
    <w:name w:val="Normal (Web)"/>
    <w:basedOn w:val="Normal"/>
    <w:uiPriority w:val="99"/>
    <w:qFormat/>
    <w:pPr>
      <w:spacing w:beforeAutospacing="1" w:afterAutospacing="1"/>
    </w:pPr>
    <w:rPr>
      <w:rFonts w:ascii="Arial" w:hAnsi="Arial" w:cs="Arial"/>
      <w:color w:val="000000"/>
      <w:sz w:val="20"/>
      <w:szCs w:val="20"/>
    </w:rPr>
  </w:style>
  <w:style w:type="paragraph" w:styleId="TOCHeading">
    <w:name w:val="TOC Heading"/>
    <w:basedOn w:val="Titolo1"/>
    <w:next w:val="Normal"/>
    <w:uiPriority w:val="99"/>
    <w:qFormat/>
    <w:pPr>
      <w:keepLines/>
      <w:spacing w:lineRule="auto" w:line="259" w:before="240" w:after="0"/>
      <w:jc w:val="left"/>
    </w:pPr>
    <w:rPr>
      <w:rFonts w:ascii="Calibri Light" w:hAnsi="Calibri Light"/>
      <w:b w:val="false"/>
      <w:color w:val="2F5496"/>
      <w:sz w:val="32"/>
      <w:szCs w:val="32"/>
    </w:rPr>
  </w:style>
  <w:style w:type="paragraph" w:styleId="Indice1">
    <w:name w:val="TOC 1"/>
    <w:basedOn w:val="Normal"/>
    <w:next w:val="Normal"/>
    <w:autoRedefine/>
    <w:uiPriority w:val="39"/>
    <w:rsid w:val="008a0dfb"/>
    <w:pPr>
      <w:tabs>
        <w:tab w:val="clear" w:pos="708"/>
        <w:tab w:val="left" w:pos="440" w:leader="none"/>
        <w:tab w:val="right" w:pos="9628" w:leader="dot"/>
      </w:tabs>
    </w:pPr>
    <w:rPr>
      <w:rFonts w:ascii="Calibri" w:hAnsi="Calibri" w:cs="Calibri"/>
      <w:caps/>
      <w:sz w:val="22"/>
      <w:szCs w:val="22"/>
    </w:rPr>
  </w:style>
  <w:style w:type="paragraph" w:styleId="Indice2">
    <w:name w:val="TOC 2"/>
    <w:basedOn w:val="Normal"/>
    <w:next w:val="Normal"/>
    <w:autoRedefine/>
    <w:uiPriority w:val="39"/>
    <w:pPr>
      <w:ind w:left="240" w:hanging="0"/>
    </w:pPr>
    <w:rPr/>
  </w:style>
  <w:style w:type="paragraph" w:styleId="NoSpacing">
    <w:name w:val="No Spacing"/>
    <w:uiPriority w:val="99"/>
    <w:qFormat/>
    <w:pPr>
      <w:widowControl/>
      <w:suppressAutoHyphens w:val="tru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Sottotitolo">
    <w:name w:val="Subtitle"/>
    <w:basedOn w:val="Normal"/>
    <w:next w:val="Normal"/>
    <w:link w:val="SottotitoloCarattere"/>
    <w:uiPriority w:val="99"/>
    <w:qFormat/>
    <w:pPr>
      <w:spacing w:before="0" w:after="60"/>
      <w:jc w:val="center"/>
      <w:outlineLvl w:val="1"/>
    </w:pPr>
    <w:rPr>
      <w:rFonts w:ascii="Calibri Light" w:hAnsi="Calibri Light"/>
    </w:rPr>
  </w:style>
  <w:style w:type="paragraph" w:styleId="Intestazioneepidipagina" w:customStyle="1">
    <w:name w:val="Intestazione e piè di pagina"/>
    <w:basedOn w:val="Normal"/>
    <w:uiPriority w:val="99"/>
    <w:qFormat/>
    <w:rsid w:val="005c05ae"/>
    <w:pPr/>
    <w:rPr/>
  </w:style>
  <w:style w:type="paragraph" w:styleId="Intestazione">
    <w:name w:val="Header"/>
    <w:basedOn w:val="Normal"/>
    <w:link w:val="IntestazioneCarattere"/>
    <w:uiPriority w:val="99"/>
    <w:pPr>
      <w:tabs>
        <w:tab w:val="clear" w:pos="708"/>
        <w:tab w:val="center" w:pos="4819" w:leader="none"/>
        <w:tab w:val="right" w:pos="9638" w:leader="none"/>
      </w:tabs>
    </w:pPr>
    <w:rPr/>
  </w:style>
  <w:style w:type="paragraph" w:styleId="Pidipagina">
    <w:name w:val="Footer"/>
    <w:basedOn w:val="Normal"/>
    <w:link w:val="PidipaginaCarattere"/>
    <w:uiPriority w:val="99"/>
    <w:pPr>
      <w:tabs>
        <w:tab w:val="clear" w:pos="708"/>
        <w:tab w:val="center" w:pos="4819" w:leader="none"/>
        <w:tab w:val="right" w:pos="9638" w:leader="none"/>
      </w:tabs>
    </w:pPr>
    <w:rPr/>
  </w:style>
  <w:style w:type="paragraph" w:styleId="Annotationtext">
    <w:name w:val="annotation text"/>
    <w:basedOn w:val="Normal"/>
    <w:link w:val="TestocommentoCarattere"/>
    <w:uiPriority w:val="99"/>
    <w:qFormat/>
    <w:pPr/>
    <w:rPr>
      <w:sz w:val="20"/>
      <w:szCs w:val="20"/>
    </w:rPr>
  </w:style>
  <w:style w:type="paragraph" w:styleId="Annotationsubject">
    <w:name w:val="annotation subject"/>
    <w:basedOn w:val="Annotationtext"/>
    <w:next w:val="Annotationtext"/>
    <w:link w:val="SoggettocommentoCarattere"/>
    <w:uiPriority w:val="99"/>
    <w:qFormat/>
    <w:pPr/>
    <w:rPr>
      <w:b/>
      <w:bCs/>
    </w:rPr>
  </w:style>
  <w:style w:type="paragraph" w:styleId="Contenutocornice" w:customStyle="1">
    <w:name w:val="Contenuto cornice"/>
    <w:basedOn w:val="Normal"/>
    <w:uiPriority w:val="99"/>
    <w:qFormat/>
    <w:rsid w:val="005c05ae"/>
    <w:pPr/>
    <w:rPr/>
  </w:style>
  <w:style w:type="paragraph" w:styleId="Indice3">
    <w:name w:val="TOC 3"/>
    <w:basedOn w:val="Normal"/>
    <w:next w:val="Normal"/>
    <w:autoRedefine/>
    <w:uiPriority w:val="99"/>
    <w:rsid w:val="00127c63"/>
    <w:pPr>
      <w:suppressAutoHyphens w:val="false"/>
      <w:spacing w:lineRule="auto" w:line="259" w:before="0" w:after="100"/>
      <w:ind w:left="440" w:hanging="0"/>
    </w:pPr>
    <w:rPr>
      <w:rFonts w:ascii="Calibri" w:hAnsi="Calibri" w:eastAsia="Yu Mincho"/>
      <w:sz w:val="22"/>
      <w:szCs w:val="22"/>
    </w:rPr>
  </w:style>
  <w:style w:type="paragraph" w:styleId="BalloonText">
    <w:name w:val="Balloon Text"/>
    <w:basedOn w:val="Normal"/>
    <w:link w:val="TestofumettoCarattere"/>
    <w:uiPriority w:val="99"/>
    <w:semiHidden/>
    <w:qFormat/>
    <w:rsid w:val="00873d2e"/>
    <w:pPr/>
    <w:rPr>
      <w:rFonts w:ascii="Segoe UI" w:hAnsi="Segoe UI" w:cs="Segoe UI"/>
      <w:sz w:val="18"/>
      <w:szCs w:val="18"/>
    </w:rPr>
  </w:style>
  <w:style w:type="paragraph" w:styleId="PlainText">
    <w:name w:val="Plain Text"/>
    <w:basedOn w:val="Normal"/>
    <w:link w:val="TestonormaleCarattere"/>
    <w:uiPriority w:val="99"/>
    <w:qFormat/>
    <w:rsid w:val="00fd0781"/>
    <w:pPr>
      <w:suppressAutoHyphens w:val="false"/>
    </w:pPr>
    <w:rPr>
      <w:rFonts w:ascii="Calibri" w:hAnsi="Calibri" w:cs="Arial"/>
      <w:sz w:val="22"/>
      <w:szCs w:val="21"/>
      <w:lang w:eastAsia="en-US"/>
    </w:rPr>
  </w:style>
  <w:style w:type="paragraph" w:styleId="Default" w:customStyle="1">
    <w:name w:val="Default"/>
    <w:qFormat/>
    <w:rsid w:val="00a324a6"/>
    <w:pPr>
      <w:widowControl/>
      <w:suppressAutoHyphens w:val="true"/>
      <w:bidi w:val="0"/>
      <w:spacing w:before="0" w:after="0"/>
      <w:jc w:val="left"/>
    </w:pPr>
    <w:rPr>
      <w:rFonts w:ascii="Times New Roman" w:hAnsi="Times New Roman" w:eastAsia="Times New Roman" w:cs="Times New Roman"/>
      <w:color w:val="000000"/>
      <w:kern w:val="0"/>
      <w:sz w:val="24"/>
      <w:szCs w:val="24"/>
      <w:lang w:val="it-IT" w:eastAsia="it-IT" w:bidi="ar-SA"/>
    </w:rPr>
  </w:style>
  <w:style w:type="paragraph" w:styleId="Normale1" w:customStyle="1">
    <w:name w:val="Normale1"/>
    <w:qFormat/>
    <w:rsid w:val="00504137"/>
    <w:pPr>
      <w:widowControl/>
      <w:suppressAutoHyphens w:val="true"/>
      <w:bidi w:val="0"/>
      <w:spacing w:lineRule="auto" w:line="276" w:before="0" w:after="0"/>
      <w:jc w:val="left"/>
    </w:pPr>
    <w:rPr>
      <w:rFonts w:ascii="Arial" w:hAnsi="Arial" w:eastAsia="Arial" w:cs="Arial"/>
      <w:color w:val="000000"/>
      <w:kern w:val="0"/>
      <w:sz w:val="22"/>
      <w:szCs w:val="22"/>
      <w:lang w:eastAsia="ar-SA" w:val="it-IT" w:bidi="ar-SA"/>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styleId="Grigliatabella">
    <w:name w:val="Table Grid"/>
    <w:basedOn w:val="Tabellanormale"/>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lagriglia2-colore41">
    <w:name w:val="Tabella griglia 2 - colore 41"/>
    <w:uiPriority w:val="99"/>
    <w:rsid w:val="00cd4a49"/>
    <w:tblPr>
      <w:tblStyleRowBandSize w:val="1"/>
      <w:tblStyleColBandSize w:val="1"/>
      <w:tblBorders>
        <w:top w:val="single" w:color="FFD966" w:sz="2" w:space="0"/>
        <w:bottom w:val="single" w:color="FFD966" w:sz="2" w:space="0"/>
        <w:insideH w:val="single" w:color="FFD966" w:sz="2" w:space="0"/>
        <w:insideV w:val="single" w:color="FFD966" w:sz="2" w:space="0"/>
      </w:tblBorders>
      <w:tblCellMar>
        <w:top w:w="0" w:type="dxa"/>
        <w:left w:w="108" w:type="dxa"/>
        <w:bottom w:w="0" w:type="dxa"/>
        <w:right w:w="108" w:type="dxa"/>
      </w:tblCellMar>
    </w:tblPr>
  </w:style>
  <w:style w:type="table" w:customStyle="1" w:styleId="Tabellagriglia4-colore51">
    <w:name w:val="Tabella griglia 4 - colore 51"/>
    <w:uiPriority w:val="99"/>
    <w:rsid w:val="0053157d"/>
    <w:rPr>
      <w:lang w:eastAsia="en-US"/>
    </w:rPr>
    <w:tblPr>
      <w:tblStyleRowBandSize w:val="1"/>
      <w:tblStyleColBandSize w:val="1"/>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
  </w:style>
  <w:style w:type="table" w:customStyle="1" w:styleId="TableGrid">
    <w:name w:val="TableGrid"/>
    <w:rsid w:val="00d65eb5"/>
    <w:rPr>
      <w:rFonts w:asciiTheme="minorHAnsi" w:hAnsiTheme="minorHAnsi" w:eastAsiaTheme="minorEastAsia" w:cstheme="minorBidi"/>
      <w:sz w:val="22"/>
      <w:szCs w:val="22"/>
    </w:rPr>
    <w:tblPr>
      <w:tblCellMar>
        <w:top w:w="0" w:type="dxa"/>
        <w:left w:w="0" w:type="dxa"/>
        <w:bottom w:w="0" w:type="dxa"/>
        <w:right w:w="0" w:type="dxa"/>
      </w:tblCellMar>
    </w:tblPr>
  </w:style>
  <w:style w:type="table" w:styleId="Sfondochiaro">
    <w:name w:val="Light Shading"/>
    <w:basedOn w:val="Tabellanormale"/>
    <w:uiPriority w:val="60"/>
    <w:rsid w:val="00aa25f3"/>
    <w:rPr>
      <w:rFonts w:asciiTheme="minorHAnsi" w:hAnsiTheme="minorHAnsi" w:eastAsiaTheme="minorHAnsi" w:cstheme="minorBidi"/>
      <w:lang w:eastAsia="en-US"/>
      <w:color w:val="000000" w:themeColor="text1" w:themeShade="bf"/>
      <w:sz w:val="22"/>
      <w:szCs w:val="22"/>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laelenco7acolori-colore6">
    <w:name w:val="List Table 7 Colorful Accent 6"/>
    <w:basedOn w:val="Tabellanormale"/>
    <w:uiPriority w:val="52"/>
    <w:rsid w:val="001b149f"/>
    <w:rPr>
      <w:color w:val="E36C0A" w:themeColor="accent6" w:themeShade="bf"/>
    </w:rPr>
    <w:tblPr>
      <w:tblStyleRowBandSize w:val="1"/>
      <w:tblStyleColBandSize w:val="1"/>
    </w:tblPr>
    <w:tblStylePr w:type="firstRow">
      <w:rPr>
        <w:rFonts w:asciiTheme="majorHAnsi" w:hAnsiTheme="majorHAnsi" w:eastAsiaTheme="majorEastAsia" w:cstheme="majorBidi"/>
        <w:i/>
        <w:sz w:val="26"/>
      </w:rPr>
      <w:tblPr/>
      <w:tcPr>
        <w:tcBorders>
          <w:bottom w:val="single" w:color="F79646" w:themeColor="accent6"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F79646" w:themeColor="accent6"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F79646" w:themeColor="accent6"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F79646" w:themeColor="accent6" w:sz="4" w:space="0"/>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5">
    <w:name w:val="List Table 7 Colorful Accent 5"/>
    <w:basedOn w:val="Tabellanormale"/>
    <w:uiPriority w:val="52"/>
    <w:rsid w:val="001b149f"/>
    <w:rPr>
      <w:color w:val="31849B" w:themeColor="accent5" w:themeShade="bf"/>
    </w:rPr>
    <w:tblPr>
      <w:tblStyleRowBandSize w:val="1"/>
      <w:tblStyleColBandSize w:val="1"/>
    </w:tblPr>
    <w:tblStylePr w:type="firstRow">
      <w:rPr>
        <w:rFonts w:asciiTheme="majorHAnsi" w:hAnsiTheme="majorHAnsi" w:eastAsiaTheme="majorEastAsia" w:cstheme="majorBidi"/>
        <w:i/>
        <w:sz w:val="26"/>
      </w:rPr>
      <w:tblPr/>
      <w:tcPr>
        <w:tcBorders>
          <w:bottom w:val="single" w:color="4BACC6" w:themeColor="accent5"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4BACC6" w:themeColor="accent5"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4BACC6" w:themeColor="accent5"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4BACC6" w:themeColor="accent5" w:sz="4" w:space="0"/>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4">
    <w:name w:val="List Table 7 Colorful Accent 4"/>
    <w:basedOn w:val="Tabellanormale"/>
    <w:uiPriority w:val="52"/>
    <w:rsid w:val="001b149f"/>
    <w:rPr>
      <w:color w:val="5F497A" w:themeColor="accent4" w:themeShade="bf"/>
    </w:rPr>
    <w:tblPr>
      <w:tblStyleRowBandSize w:val="1"/>
      <w:tblStyleColBandSize w:val="1"/>
    </w:tblPr>
    <w:tblStylePr w:type="firstRow">
      <w:rPr>
        <w:rFonts w:asciiTheme="majorHAnsi" w:hAnsiTheme="majorHAnsi" w:eastAsiaTheme="majorEastAsia" w:cstheme="majorBidi"/>
        <w:i/>
        <w:sz w:val="26"/>
      </w:rPr>
      <w:tblPr/>
      <w:tcPr>
        <w:tcBorders>
          <w:bottom w:val="single" w:color="8064A2" w:themeColor="accent4"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8064A2" w:themeColor="accent4"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8064A2" w:themeColor="accent4"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8064A2" w:themeColor="accent4" w:sz="4" w:space="0"/>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1chiara-colore5">
    <w:name w:val="Grid Table 1 Light Accent 5"/>
    <w:basedOn w:val="Tabellanormale"/>
    <w:uiPriority w:val="46"/>
    <w:rsid w:val="001b149f"/>
    <w:tblPr>
      <w:tblStyleRowBandSize w:val="1"/>
      <w:tblStyleColBandSize w:val="1"/>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blStylePr w:type="firstRow">
      <w:rPr>
        <w:b/>
        <w:bCs/>
      </w:rPr>
      <w:tblPr/>
      <w:tcPr>
        <w:tcBorders>
          <w:bottom w:val="single" w:color="4BACC6" w:themeColor="accent5" w:sz="12" w:space="0"/>
        </w:tcBorders>
      </w:tcPr>
    </w:tblStylePr>
    <w:tblStylePr w:type="lastRow">
      <w:rPr>
        <w:b/>
        <w:bCs/>
      </w:rPr>
      <w:tblPr/>
      <w:tcPr>
        <w:tcBorders>
          <w:top w:val="double" w:color="4BACC6" w:themeColor="accent5" w:sz="2" w:space="0"/>
        </w:tcBorders>
      </w:tcPr>
    </w:tblStylePr>
    <w:tblStylePr w:type="firstCol">
      <w:rPr>
        <w:b/>
        <w:bCs/>
      </w:rPr>
      <w:tblPr/>
    </w:tblStylePr>
    <w:tblStylePr w:type="lastCol">
      <w:rPr>
        <w:b/>
        <w:bCs/>
      </w:rPr>
      <w:tblPr/>
    </w:tblStylePr>
  </w:style>
  <w:style w:type="table" w:styleId="Tabellagriglia5scura-colore1">
    <w:name w:val="Grid Table 5 Dark Accent 1"/>
    <w:basedOn w:val="Tabellanormale"/>
    <w:uiPriority w:val="50"/>
    <w:rsid w:val="006957c2"/>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lagriglia4-colore5">
    <w:name w:val="Grid Table 4 Accent 5"/>
    <w:basedOn w:val="Tabellanormale"/>
    <w:uiPriority w:val="49"/>
    <w:rsid w:val="00f77c28"/>
    <w:tblPr>
      <w:tblStyleRowBandSize w:val="1"/>
      <w:tblStyleColBandSize w:val="1"/>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color w:val="FFFFFF" w:themeColor="background1"/>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blPr/>
      <w:tcPr>
        <w:tcBorders>
          <w:top w:val="double" w:color="4BACC6" w:themeColor="accent5" w:sz="4" w:space="0"/>
        </w:tcBorders>
      </w:tcPr>
    </w:tblStylePr>
    <w:tblStylePr w:type="firstCol">
      <w:rPr>
        <w:b/>
        <w:bCs/>
      </w:rPr>
      <w:tblPr/>
    </w:tblStylePr>
    <w:tblStylePr w:type="lastCol">
      <w:rPr>
        <w:b/>
        <w:bCs/>
      </w:rPr>
      <w:tbl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chart" Target="charts/chart1.xml"/><Relationship Id="rId4" Type="http://schemas.openxmlformats.org/officeDocument/2006/relationships/chart" Target="charts/chart2.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wmf"/><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chart" Target="charts/chart3.xml"/><Relationship Id="rId18" Type="http://schemas.openxmlformats.org/officeDocument/2006/relationships/image" Target="media/image14.png"/><Relationship Id="rId19" Type="http://schemas.openxmlformats.org/officeDocument/2006/relationships/chart" Target="charts/chart4.xml"/><Relationship Id="rId20" Type="http://schemas.openxmlformats.org/officeDocument/2006/relationships/image" Target="media/image15.png"/><Relationship Id="rId21" Type="http://schemas.openxmlformats.org/officeDocument/2006/relationships/chart" Target="charts/chart5.xml"/><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hyperlink" Target="http://www.regione.toscana.it/-/puntoinsieme-assistenza-continua-alla-persona-non-autosufficiente" TargetMode="External"/><Relationship Id="rId33" Type="http://schemas.openxmlformats.org/officeDocument/2006/relationships/image" Target="media/image26.png"/><Relationship Id="rId34" Type="http://schemas.openxmlformats.org/officeDocument/2006/relationships/chart" Target="charts/chart6.xml"/><Relationship Id="rId35" Type="http://schemas.openxmlformats.org/officeDocument/2006/relationships/chart" Target="charts/chart7.xml"/><Relationship Id="rId36" Type="http://schemas.openxmlformats.org/officeDocument/2006/relationships/chart" Target="charts/chart8.xml"/><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chart" Target="charts/chart9.xml"/><Relationship Id="rId53" Type="http://schemas.openxmlformats.org/officeDocument/2006/relationships/chart" Target="charts/chart10.xml"/><Relationship Id="rId54" Type="http://schemas.openxmlformats.org/officeDocument/2006/relationships/chart" Target="charts/chart11.xml"/><Relationship Id="rId55" Type="http://schemas.openxmlformats.org/officeDocument/2006/relationships/image" Target="media/image42.wmf"/><Relationship Id="rId56" Type="http://schemas.openxmlformats.org/officeDocument/2006/relationships/image" Target="media/image43.png"/><Relationship Id="rId57" Type="http://schemas.openxmlformats.org/officeDocument/2006/relationships/image" Target="media/image44.wmf"/><Relationship Id="rId58" Type="http://schemas.openxmlformats.org/officeDocument/2006/relationships/image" Target="media/image45.wmf"/><Relationship Id="rId59" Type="http://schemas.openxmlformats.org/officeDocument/2006/relationships/image" Target="media/image46.wmf"/><Relationship Id="rId60" Type="http://schemas.openxmlformats.org/officeDocument/2006/relationships/image" Target="media/image47.wmf"/><Relationship Id="rId61" Type="http://schemas.openxmlformats.org/officeDocument/2006/relationships/image" Target="media/image48.wmf"/><Relationship Id="rId62" Type="http://schemas.openxmlformats.org/officeDocument/2006/relationships/image" Target="media/image49.wmf"/><Relationship Id="rId63" Type="http://schemas.openxmlformats.org/officeDocument/2006/relationships/image" Target="media/image50.wmf"/><Relationship Id="rId64" Type="http://schemas.openxmlformats.org/officeDocument/2006/relationships/image" Target="media/image51.wmf"/><Relationship Id="rId65" Type="http://schemas.openxmlformats.org/officeDocument/2006/relationships/image" Target="media/image52.wmf"/><Relationship Id="rId66" Type="http://schemas.openxmlformats.org/officeDocument/2006/relationships/image" Target="media/image53.wmf"/><Relationship Id="rId67" Type="http://schemas.openxmlformats.org/officeDocument/2006/relationships/image" Target="media/image54.wmf"/><Relationship Id="rId68" Type="http://schemas.openxmlformats.org/officeDocument/2006/relationships/image" Target="media/image55.wmf"/><Relationship Id="rId69" Type="http://schemas.openxmlformats.org/officeDocument/2006/relationships/image" Target="media/image56.wmf"/><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header" Target="header1.xml"/><Relationship Id="rId86" Type="http://schemas.openxmlformats.org/officeDocument/2006/relationships/numbering" Target="numbering.xml"/><Relationship Id="rId87" Type="http://schemas.openxmlformats.org/officeDocument/2006/relationships/fontTable" Target="fontTable.xml"/><Relationship Id="rId88" Type="http://schemas.openxmlformats.org/officeDocument/2006/relationships/settings" Target="settings.xml"/><Relationship Id="rId89" Type="http://schemas.openxmlformats.org/officeDocument/2006/relationships/theme" Target="theme/theme1.xml"/><Relationship Id="rId9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72.jpeg"/>
</Relationships>
</file>

<file path=word/charts/_rels/chart3.xml.rels><?xml version="1.0" encoding="UTF-8"?>
<Relationships xmlns="http://schemas.openxmlformats.org/package/2006/relationships"><Relationship Id="rId1" Type="http://schemas.openxmlformats.org/officeDocument/2006/relationships/oleObject" Target="../embeddings/oleObject1.bin"/>
</Relationships>
</file>

<file path=word/charts/_rels/chart4.xml.rels><?xml version="1.0" encoding="UTF-8"?>
<Relationships xmlns="http://schemas.openxmlformats.org/package/2006/relationships"><Relationship Id="rId1" Type="http://schemas.openxmlformats.org/officeDocument/2006/relationships/oleObject" Target="../embeddings/oleObject2.bin"/>
</Relationships>
</file>

<file path=word/charts/_rels/chart5.xml.rels><?xml version="1.0" encoding="UTF-8"?>
<Relationships xmlns="http://schemas.openxmlformats.org/package/2006/relationships"><Relationship Id="rId1" Type="http://schemas.openxmlformats.org/officeDocument/2006/relationships/oleObject" Target="../embeddings/oleObject3.bin"/>
</Relationships>
</file>

<file path=word/charts/_rels/chart8.xml.rels><?xml version="1.0" encoding="UTF-8"?>
<Relationships xmlns="http://schemas.openxmlformats.org/package/2006/relationships"><Relationship Id="rId1" Type="http://schemas.openxmlformats.org/officeDocument/2006/relationships/package" Target="../embeddings/Foglio_di_lavoro_di_Microsoft_Excel.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ineChart>
        <c:grouping val="standard"/>
        <c:varyColors val="0"/>
        <c:ser>
          <c:idx val="0"/>
          <c:order val="0"/>
          <c:tx>
            <c:strRef>
              <c:f>label 0</c:f>
              <c:strCache>
                <c:ptCount val="1"/>
                <c:pt idx="0">
                  <c:v>2020</c:v>
                </c:pt>
              </c:strCache>
            </c:strRef>
          </c:tx>
          <c:spPr>
            <a:solidFill>
              <a:srgbClr val="4f81bd"/>
            </a:solidFill>
            <a:ln cap="rnd" w="28440">
              <a:solidFill>
                <a:srgbClr val="4f81bd"/>
              </a:solidFill>
              <a:round/>
            </a:ln>
          </c:spPr>
          <c:marker>
            <c:symbol val="none"/>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gen</c:v>
                </c:pt>
                <c:pt idx="1">
                  <c:v>feb</c:v>
                </c:pt>
                <c:pt idx="2">
                  <c:v>mar</c:v>
                </c:pt>
                <c:pt idx="3">
                  <c:v>apr</c:v>
                </c:pt>
                <c:pt idx="4">
                  <c:v>mag</c:v>
                </c:pt>
                <c:pt idx="5">
                  <c:v>giu</c:v>
                </c:pt>
                <c:pt idx="6">
                  <c:v>lug</c:v>
                </c:pt>
                <c:pt idx="7">
                  <c:v>ago</c:v>
                </c:pt>
                <c:pt idx="8">
                  <c:v>set</c:v>
                </c:pt>
                <c:pt idx="9">
                  <c:v>ott</c:v>
                </c:pt>
                <c:pt idx="10">
                  <c:v>nov</c:v>
                </c:pt>
                <c:pt idx="11">
                  <c:v>dic</c:v>
                </c:pt>
              </c:strCache>
            </c:strRef>
          </c:cat>
          <c:val>
            <c:numRef>
              <c:f>0</c:f>
              <c:numCache>
                <c:formatCode>General</c:formatCode>
                <c:ptCount val="12"/>
                <c:pt idx="0">
                  <c:v>0.6</c:v>
                </c:pt>
                <c:pt idx="1">
                  <c:v>3.5</c:v>
                </c:pt>
                <c:pt idx="2">
                  <c:v>121.2</c:v>
                </c:pt>
                <c:pt idx="3">
                  <c:v>101</c:v>
                </c:pt>
                <c:pt idx="4">
                  <c:v>17.6</c:v>
                </c:pt>
                <c:pt idx="5">
                  <c:v>6.6</c:v>
                </c:pt>
                <c:pt idx="6">
                  <c:v>10.6</c:v>
                </c:pt>
                <c:pt idx="7">
                  <c:v>39.9</c:v>
                </c:pt>
                <c:pt idx="8">
                  <c:v>86.1</c:v>
                </c:pt>
                <c:pt idx="9">
                  <c:v>1388.5</c:v>
                </c:pt>
                <c:pt idx="10">
                  <c:v>1631.1</c:v>
                </c:pt>
                <c:pt idx="11">
                  <c:v>470.5</c:v>
                </c:pt>
              </c:numCache>
            </c:numRef>
          </c:val>
          <c:smooth val="1"/>
        </c:ser>
        <c:ser>
          <c:idx val="1"/>
          <c:order val="1"/>
          <c:tx>
            <c:strRef>
              <c:f>label 1</c:f>
              <c:strCache>
                <c:ptCount val="1"/>
                <c:pt idx="0">
                  <c:v>2021</c:v>
                </c:pt>
              </c:strCache>
            </c:strRef>
          </c:tx>
          <c:spPr>
            <a:solidFill>
              <a:srgbClr val="c0504d"/>
            </a:solidFill>
            <a:ln cap="rnd" w="28440">
              <a:solidFill>
                <a:srgbClr val="c0504d"/>
              </a:solidFill>
              <a:round/>
            </a:ln>
          </c:spPr>
          <c:marker>
            <c:symbol val="none"/>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gen</c:v>
                </c:pt>
                <c:pt idx="1">
                  <c:v>feb</c:v>
                </c:pt>
                <c:pt idx="2">
                  <c:v>mar</c:v>
                </c:pt>
                <c:pt idx="3">
                  <c:v>apr</c:v>
                </c:pt>
                <c:pt idx="4">
                  <c:v>mag</c:v>
                </c:pt>
                <c:pt idx="5">
                  <c:v>giu</c:v>
                </c:pt>
                <c:pt idx="6">
                  <c:v>lug</c:v>
                </c:pt>
                <c:pt idx="7">
                  <c:v>ago</c:v>
                </c:pt>
                <c:pt idx="8">
                  <c:v>set</c:v>
                </c:pt>
                <c:pt idx="9">
                  <c:v>ott</c:v>
                </c:pt>
                <c:pt idx="10">
                  <c:v>nov</c:v>
                </c:pt>
                <c:pt idx="11">
                  <c:v>dic</c:v>
                </c:pt>
              </c:strCache>
            </c:strRef>
          </c:cat>
          <c:val>
            <c:numRef>
              <c:f>1</c:f>
              <c:numCache>
                <c:formatCode>General</c:formatCode>
                <c:ptCount val="12"/>
                <c:pt idx="0">
                  <c:v>445.2</c:v>
                </c:pt>
                <c:pt idx="1">
                  <c:v>869.6</c:v>
                </c:pt>
                <c:pt idx="2">
                  <c:v>1431.4</c:v>
                </c:pt>
                <c:pt idx="3">
                  <c:v>1018.7</c:v>
                </c:pt>
                <c:pt idx="4">
                  <c:v>471.2</c:v>
                </c:pt>
                <c:pt idx="5">
                  <c:v>89.8</c:v>
                </c:pt>
                <c:pt idx="6">
                  <c:v>326</c:v>
                </c:pt>
                <c:pt idx="7">
                  <c:v>583.5</c:v>
                </c:pt>
                <c:pt idx="8">
                  <c:v>376.7</c:v>
                </c:pt>
                <c:pt idx="9">
                  <c:v>271.3</c:v>
                </c:pt>
                <c:pt idx="10">
                  <c:v>378.5</c:v>
                </c:pt>
                <c:pt idx="11">
                  <c:v>3387.1</c:v>
                </c:pt>
              </c:numCache>
            </c:numRef>
          </c:val>
          <c:smooth val="1"/>
        </c:ser>
        <c:ser>
          <c:idx val="2"/>
          <c:order val="2"/>
          <c:tx>
            <c:strRef>
              <c:f>label 2</c:f>
              <c:strCache>
                <c:ptCount val="1"/>
                <c:pt idx="0">
                  <c:v>2022</c:v>
                </c:pt>
              </c:strCache>
            </c:strRef>
          </c:tx>
          <c:spPr>
            <a:solidFill>
              <a:srgbClr val="9bbb59"/>
            </a:solidFill>
            <a:ln cap="rnd" w="28440">
              <a:solidFill>
                <a:srgbClr val="9bbb59"/>
              </a:solidFill>
              <a:round/>
            </a:ln>
          </c:spPr>
          <c:marker>
            <c:symbol val="none"/>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gen</c:v>
                </c:pt>
                <c:pt idx="1">
                  <c:v>feb</c:v>
                </c:pt>
                <c:pt idx="2">
                  <c:v>mar</c:v>
                </c:pt>
                <c:pt idx="3">
                  <c:v>apr</c:v>
                </c:pt>
                <c:pt idx="4">
                  <c:v>mag</c:v>
                </c:pt>
                <c:pt idx="5">
                  <c:v>giu</c:v>
                </c:pt>
                <c:pt idx="6">
                  <c:v>lug</c:v>
                </c:pt>
                <c:pt idx="7">
                  <c:v>ago</c:v>
                </c:pt>
                <c:pt idx="8">
                  <c:v>set</c:v>
                </c:pt>
                <c:pt idx="9">
                  <c:v>ott</c:v>
                </c:pt>
                <c:pt idx="10">
                  <c:v>nov</c:v>
                </c:pt>
                <c:pt idx="11">
                  <c:v>dic</c:v>
                </c:pt>
              </c:strCache>
            </c:strRef>
          </c:cat>
          <c:val>
            <c:numRef>
              <c:f>2</c:f>
              <c:numCache>
                <c:formatCode>General</c:formatCode>
                <c:ptCount val="12"/>
                <c:pt idx="0">
                  <c:v>11185.4</c:v>
                </c:pt>
                <c:pt idx="1">
                  <c:v>2742.2</c:v>
                </c:pt>
                <c:pt idx="2">
                  <c:v>2659.3</c:v>
                </c:pt>
                <c:pt idx="3">
                  <c:v>2813.8</c:v>
                </c:pt>
                <c:pt idx="4">
                  <c:v>1378.5</c:v>
                </c:pt>
                <c:pt idx="5">
                  <c:v>1881</c:v>
                </c:pt>
                <c:pt idx="6">
                  <c:v>3531.4</c:v>
                </c:pt>
                <c:pt idx="7">
                  <c:v>938</c:v>
                </c:pt>
                <c:pt idx="8">
                  <c:v>837.1</c:v>
                </c:pt>
                <c:pt idx="9">
                  <c:v>1735.7</c:v>
                </c:pt>
                <c:pt idx="10">
                  <c:v>1321.7</c:v>
                </c:pt>
                <c:pt idx="11">
                  <c:v>815.3</c:v>
                </c:pt>
              </c:numCache>
            </c:numRef>
          </c:val>
          <c:smooth val="1"/>
        </c:ser>
        <c:ser>
          <c:idx val="3"/>
          <c:order val="3"/>
          <c:tx>
            <c:strRef>
              <c:f>label 3</c:f>
              <c:strCache>
                <c:ptCount val="1"/>
                <c:pt idx="0">
                  <c:v>2023</c:v>
                </c:pt>
              </c:strCache>
            </c:strRef>
          </c:tx>
          <c:spPr>
            <a:solidFill>
              <a:srgbClr val="8064a2"/>
            </a:solidFill>
            <a:ln cap="rnd" w="28440">
              <a:solidFill>
                <a:srgbClr val="8064a2"/>
              </a:solidFill>
              <a:round/>
            </a:ln>
          </c:spPr>
          <c:marker>
            <c:symbol val="none"/>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gen</c:v>
                </c:pt>
                <c:pt idx="1">
                  <c:v>feb</c:v>
                </c:pt>
                <c:pt idx="2">
                  <c:v>mar</c:v>
                </c:pt>
                <c:pt idx="3">
                  <c:v>apr</c:v>
                </c:pt>
                <c:pt idx="4">
                  <c:v>mag</c:v>
                </c:pt>
                <c:pt idx="5">
                  <c:v>giu</c:v>
                </c:pt>
                <c:pt idx="6">
                  <c:v>lug</c:v>
                </c:pt>
                <c:pt idx="7">
                  <c:v>ago</c:v>
                </c:pt>
                <c:pt idx="8">
                  <c:v>set</c:v>
                </c:pt>
                <c:pt idx="9">
                  <c:v>ott</c:v>
                </c:pt>
                <c:pt idx="10">
                  <c:v>nov</c:v>
                </c:pt>
                <c:pt idx="11">
                  <c:v>dic</c:v>
                </c:pt>
              </c:strCache>
            </c:strRef>
          </c:cat>
          <c:val>
            <c:numRef>
              <c:f>3</c:f>
              <c:numCache>
                <c:formatCode>General</c:formatCode>
                <c:ptCount val="12"/>
                <c:pt idx="0">
                  <c:v>270</c:v>
                </c:pt>
                <c:pt idx="1">
                  <c:v>140</c:v>
                </c:pt>
              </c:numCache>
            </c:numRef>
          </c:val>
          <c:smooth val="1"/>
        </c:ser>
        <c:hiLowLines>
          <c:spPr>
            <a:ln w="0">
              <a:noFill/>
            </a:ln>
          </c:spPr>
        </c:hiLowLines>
        <c:marker val="0"/>
        <c:axId val="27021265"/>
        <c:axId val="37547079"/>
      </c:lineChart>
      <c:catAx>
        <c:axId val="2702126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37547079"/>
        <c:crosses val="autoZero"/>
        <c:auto val="1"/>
        <c:lblAlgn val="ctr"/>
        <c:lblOffset val="100"/>
        <c:noMultiLvlLbl val="0"/>
      </c:catAx>
      <c:valAx>
        <c:axId val="37547079"/>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27021265"/>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Serie1</c:v>
                </c:pt>
              </c:strCache>
            </c:strRef>
          </c:tx>
          <c:spPr>
            <a:solidFill>
              <a:srgbClr val="4f81bd"/>
            </a:solidFill>
            <a:ln w="0">
              <a:noFill/>
            </a:ln>
          </c:spPr>
          <c:explosion val="0"/>
          <c:dPt>
            <c:idx val="0"/>
            <c:spPr>
              <a:solidFill>
                <a:srgbClr val="4f81bd"/>
              </a:solidFill>
              <a:ln w="19080">
                <a:solidFill>
                  <a:srgbClr val="ffffff"/>
                </a:solidFill>
                <a:round/>
              </a:ln>
            </c:spPr>
          </c:dPt>
          <c:dPt>
            <c:idx val="1"/>
            <c:spPr>
              <a:solidFill>
                <a:srgbClr val="c0504d"/>
              </a:solidFill>
              <a:ln w="19080">
                <a:solidFill>
                  <a:srgbClr val="ffffff"/>
                </a:solidFill>
                <a:round/>
              </a:ln>
            </c:spPr>
          </c:dPt>
          <c:dPt>
            <c:idx val="2"/>
            <c:spPr>
              <a:solidFill>
                <a:srgbClr val="9bbb59"/>
              </a:solidFill>
              <a:ln w="19080">
                <a:solidFill>
                  <a:srgbClr val="ffffff"/>
                </a:solidFill>
                <a:round/>
              </a:ln>
            </c:spPr>
          </c:dPt>
          <c:dPt>
            <c:idx val="3"/>
            <c:spPr>
              <a:solidFill>
                <a:srgbClr val="8064a2"/>
              </a:solidFill>
              <a:ln w="19080">
                <a:solidFill>
                  <a:srgbClr val="ffffff"/>
                </a:solidFill>
                <a:round/>
              </a:ln>
            </c:spPr>
          </c:dPt>
          <c:dPt>
            <c:idx val="4"/>
            <c:spPr>
              <a:solidFill>
                <a:srgbClr val="4bacc6"/>
              </a:solidFill>
              <a:ln w="19080">
                <a:solidFill>
                  <a:srgbClr val="ffffff"/>
                </a:solidFill>
                <a:round/>
              </a:ln>
            </c:spPr>
          </c:dPt>
          <c:dPt>
            <c:idx val="5"/>
            <c:spPr>
              <a:solidFill>
                <a:srgbClr val="f79646"/>
              </a:solidFill>
              <a:ln w="19080">
                <a:solidFill>
                  <a:srgbClr val="ffffff"/>
                </a:solidFill>
                <a:round/>
              </a:ln>
            </c:spPr>
          </c:dPt>
          <c:dLbls>
            <c:numFmt formatCode="General" sourceLinked="0"/>
            <c:dLbl>
              <c:idx val="0"/>
              <c:txPr>
                <a:bodyPr wrap="square"/>
                <a:lstStyle/>
                <a:p>
                  <a:pPr>
                    <a:defRPr b="1" sz="1000" spc="-1" strike="noStrike">
                      <a:solidFill>
                        <a:srgbClr val="404040"/>
                      </a:solidFill>
                      <a:latin typeface="Calibri"/>
                    </a:defRPr>
                  </a:pPr>
                </a:p>
              </c:txPr>
              <c:tx>
                <c:rich>
                  <a:bodyPr/>
                  <a:p>
                    <a:r>
                      <a:rPr b="1" sz="1000" spc="-1" strike="noStrike">
                        <a:solidFill>
                          <a:srgbClr val="404040"/>
                        </a:solidFill>
                        <a:latin typeface="Calibri"/>
                      </a:rPr>
                      <a:t>100; 356; 62%</a:t>
                    </a:r>
                  </a:p>
                </c:rich>
              </c:tx>
              <c:dLblPos val="bestFit"/>
              <c:showLegendKey val="0"/>
              <c:showVal val="0"/>
              <c:showCatName val="0"/>
              <c:showSerName val="0"/>
              <c:showPercent val="0"/>
              <c:separator>; </c:separator>
            </c:dLbl>
            <c:dLbl>
              <c:idx val="1"/>
              <c:txPr>
                <a:bodyPr wrap="square"/>
                <a:lstStyle/>
                <a:p>
                  <a:pPr>
                    <a:defRPr b="1" sz="1000" spc="-1" strike="noStrike">
                      <a:solidFill>
                        <a:srgbClr val="404040"/>
                      </a:solidFill>
                      <a:latin typeface="Calibri"/>
                    </a:defRPr>
                  </a:pPr>
                </a:p>
              </c:txPr>
              <c:tx>
                <c:rich>
                  <a:bodyPr/>
                  <a:p>
                    <a:r>
                      <a:rPr b="1" sz="1000" spc="-1" strike="noStrike">
                        <a:solidFill>
                          <a:srgbClr val="404040"/>
                        </a:solidFill>
                        <a:latin typeface="Calibri"/>
                      </a:rPr>
                      <a:t>98-99; 75; 13%</a:t>
                    </a:r>
                  </a:p>
                </c:rich>
              </c:tx>
              <c:dLblPos val="bestFit"/>
              <c:showLegendKey val="0"/>
              <c:showVal val="0"/>
              <c:showCatName val="0"/>
              <c:showSerName val="0"/>
              <c:showPercent val="0"/>
              <c:separator>; </c:separator>
            </c:dLbl>
            <c:dLbl>
              <c:idx val="2"/>
              <c:txPr>
                <a:bodyPr wrap="square"/>
                <a:lstStyle/>
                <a:p>
                  <a:pPr>
                    <a:defRPr b="1" sz="1000" spc="-1" strike="noStrike">
                      <a:solidFill>
                        <a:srgbClr val="404040"/>
                      </a:solidFill>
                      <a:latin typeface="Calibri"/>
                    </a:defRPr>
                  </a:pPr>
                </a:p>
              </c:txPr>
              <c:tx>
                <c:rich>
                  <a:bodyPr/>
                  <a:p>
                    <a:r>
                      <a:rPr b="1" sz="1000" spc="-1" strike="noStrike">
                        <a:solidFill>
                          <a:srgbClr val="404040"/>
                        </a:solidFill>
                        <a:latin typeface="Calibri"/>
                      </a:rPr>
                      <a:t>96-97; 94; 16%</a:t>
                    </a:r>
                  </a:p>
                </c:rich>
              </c:tx>
              <c:dLblPos val="bestFit"/>
              <c:showLegendKey val="0"/>
              <c:showVal val="0"/>
              <c:showCatName val="0"/>
              <c:showSerName val="0"/>
              <c:showPercent val="0"/>
              <c:separator>; </c:separator>
            </c:dLbl>
            <c:dLbl>
              <c:idx val="3"/>
              <c:numFmt formatCode="0%" sourceLinked="0"/>
              <c:txPr>
                <a:bodyPr wrap="square"/>
                <a:lstStyle/>
                <a:p>
                  <a:pPr>
                    <a:defRPr b="1" sz="1000" spc="-1" strike="noStrike">
                      <a:solidFill>
                        <a:srgbClr val="404040"/>
                      </a:solidFill>
                      <a:latin typeface="Calibri"/>
                    </a:defRPr>
                  </a:pPr>
                </a:p>
              </c:txPr>
              <c:tx>
                <c:rich>
                  <a:bodyPr/>
                  <a:p>
                    <a:r>
                      <a:rPr b="1" sz="1000" spc="-1" strike="noStrike">
                        <a:solidFill>
                          <a:srgbClr val="404040"/>
                        </a:solidFill>
                        <a:latin typeface="Calibri"/>
                      </a:rPr>
                      <a:t>94-95; 23; 4%</a:t>
                    </a:r>
                  </a:p>
                </c:rich>
              </c:tx>
              <c:dLblPos val="bestFit"/>
              <c:showLegendKey val="0"/>
              <c:showVal val="0"/>
              <c:showCatName val="0"/>
              <c:showSerName val="0"/>
              <c:showPercent val="0"/>
              <c:separator>; </c:separator>
            </c:dLbl>
            <c:dLbl>
              <c:idx val="4"/>
              <c:txPr>
                <a:bodyPr wrap="square"/>
                <a:lstStyle/>
                <a:p>
                  <a:pPr>
                    <a:defRPr b="1" sz="1000" spc="-1" strike="noStrike">
                      <a:solidFill>
                        <a:srgbClr val="404040"/>
                      </a:solidFill>
                      <a:latin typeface="Calibri"/>
                    </a:defRPr>
                  </a:pPr>
                </a:p>
              </c:txPr>
              <c:tx>
                <c:rich>
                  <a:bodyPr/>
                  <a:p>
                    <a:r>
                      <a:rPr b="1" sz="1000" spc="-1" strike="noStrike">
                        <a:solidFill>
                          <a:srgbClr val="404040"/>
                        </a:solidFill>
                        <a:latin typeface="Calibri"/>
                      </a:rPr>
                      <a:t>92-93; 17; 3%</a:t>
                    </a:r>
                  </a:p>
                </c:rich>
              </c:tx>
              <c:dLblPos val="outEnd"/>
              <c:showLegendKey val="0"/>
              <c:showVal val="0"/>
              <c:showCatName val="0"/>
              <c:showSerName val="0"/>
              <c:showPercent val="0"/>
              <c:separator>; </c:separator>
            </c:dLbl>
            <c:dLbl>
              <c:idx val="5"/>
              <c:txPr>
                <a:bodyPr wrap="square"/>
                <a:lstStyle/>
                <a:p>
                  <a:pPr>
                    <a:defRPr b="1" sz="1000" spc="-1" strike="noStrike">
                      <a:solidFill>
                        <a:srgbClr val="404040"/>
                      </a:solidFill>
                      <a:latin typeface="Calibri"/>
                    </a:defRPr>
                  </a:pPr>
                </a:p>
              </c:txPr>
              <c:tx>
                <c:rich>
                  <a:bodyPr/>
                  <a:p>
                    <a:r>
                      <a:rPr b="1" sz="1000" spc="-1" strike="noStrike">
                        <a:solidFill>
                          <a:srgbClr val="404040"/>
                        </a:solidFill>
                        <a:latin typeface="Calibri"/>
                      </a:rPr>
                      <a:t>90-91; 9; 2%</a:t>
                    </a:r>
                  </a:p>
                </c:rich>
              </c:tx>
              <c:dLblPos val="outEnd"/>
              <c:showLegendKey val="0"/>
              <c:showVal val="0"/>
              <c:showCatName val="0"/>
              <c:showSerName val="0"/>
              <c:showPercent val="0"/>
              <c:separator>; </c:separator>
            </c:dLbl>
            <c:txPr>
              <a:bodyPr wrap="square"/>
              <a:lstStyle/>
              <a:p>
                <a:pPr>
                  <a:defRPr b="1" sz="1000" spc="-1" strike="noStrike">
                    <a:solidFill>
                      <a:srgbClr val="404040"/>
                    </a:solidFill>
                    <a:latin typeface="Calibri"/>
                  </a:defRPr>
                </a:pPr>
              </a:p>
            </c:txPr>
            <c:dLblPos val="outEnd"/>
            <c:showLegendKey val="0"/>
            <c:showVal val="1"/>
            <c:showCatName val="0"/>
            <c:showSerName val="0"/>
            <c:showPercent val="0"/>
            <c:separator>; </c:separator>
            <c:showLeaderLines val="0"/>
          </c:dLbls>
          <c:cat>
            <c:strRef>
              <c:f>categories</c:f>
              <c:strCache>
                <c:ptCount val="6"/>
                <c:pt idx="0">
                  <c:v>100</c:v>
                </c:pt>
                <c:pt idx="1">
                  <c:v>98-99</c:v>
                </c:pt>
                <c:pt idx="2">
                  <c:v>96-97</c:v>
                </c:pt>
                <c:pt idx="3">
                  <c:v>94-95</c:v>
                </c:pt>
                <c:pt idx="4">
                  <c:v>92-93</c:v>
                </c:pt>
                <c:pt idx="5">
                  <c:v>90-91</c:v>
                </c:pt>
              </c:strCache>
            </c:strRef>
          </c:cat>
          <c:val>
            <c:numRef>
              <c:f>0</c:f>
              <c:numCache>
                <c:formatCode>General</c:formatCode>
                <c:ptCount val="6"/>
                <c:pt idx="0">
                  <c:v>357</c:v>
                </c:pt>
                <c:pt idx="1">
                  <c:v>75</c:v>
                </c:pt>
                <c:pt idx="2">
                  <c:v>94</c:v>
                </c:pt>
                <c:pt idx="3">
                  <c:v>23</c:v>
                </c:pt>
                <c:pt idx="4">
                  <c:v>17</c:v>
                </c:pt>
                <c:pt idx="5">
                  <c:v>9</c:v>
                </c:pt>
              </c:numCache>
            </c:numRef>
          </c:val>
        </c:ser>
        <c:firstSliceAng val="0"/>
      </c:pieChart>
      <c:spPr>
        <a:noFill/>
        <a:ln w="0">
          <a:noFill/>
        </a:ln>
      </c:spPr>
    </c:plotArea>
    <c:legend>
      <c:legendPos val="b"/>
      <c:overlay val="0"/>
      <c:spPr>
        <a:noFill/>
        <a:ln w="0">
          <a:noFill/>
        </a:ln>
      </c:spPr>
      <c:txPr>
        <a:bodyPr/>
        <a:lstStyle/>
        <a:p>
          <a:pPr>
            <a:defRPr b="0" sz="1050" spc="-1" strike="noStrike">
              <a:solidFill>
                <a:srgbClr val="595959"/>
              </a:solidFill>
              <a:latin typeface="Calibri"/>
            </a:defRPr>
          </a:pPr>
        </a:p>
      </c:txPr>
    </c:legend>
    <c:plotVisOnly val="1"/>
    <c:dispBlanksAs val="gap"/>
  </c:chart>
  <c:spPr>
    <a:solidFill>
      <a:srgbClr val="ffffff"/>
    </a:solidFill>
    <a:ln w="9360">
      <a:noFill/>
    </a:ln>
  </c:spPr>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clustered"/>
        <c:varyColors val="0"/>
        <c:ser>
          <c:idx val="0"/>
          <c:order val="0"/>
          <c:tx>
            <c:strRef>
              <c:f>label 0</c:f>
              <c:strCache>
                <c:ptCount val="1"/>
                <c:pt idx="0">
                  <c:v>Serie1</c:v>
                </c:pt>
              </c:strCache>
            </c:strRef>
          </c:tx>
          <c:spPr>
            <a:solidFill>
              <a:srgbClr val="4f81bd"/>
            </a:solidFill>
            <a:ln w="0">
              <a:noFill/>
            </a:ln>
          </c:spPr>
          <c:invertIfNegative val="0"/>
          <c:dLbls>
            <c:numFmt formatCode="0.0"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5"/>
                <c:pt idx="0">
                  <c:v>Dipartimento Amministrazione, pianificazione e controllo di gestione</c:v>
                </c:pt>
                <c:pt idx="1">
                  <c:v>Dipartimento Area Tecnica</c:v>
                </c:pt>
                <c:pt idx="2">
                  <c:v>Dipartimento Assistenza infermieristica e ostetrica</c:v>
                </c:pt>
                <c:pt idx="3">
                  <c:v>Dipartimento del Decentramento</c:v>
                </c:pt>
                <c:pt idx="4">
                  <c:v>Dipartimento del Farmaco</c:v>
                </c:pt>
                <c:pt idx="5">
                  <c:v>Dipartimento della Prevenzione</c:v>
                </c:pt>
                <c:pt idx="6">
                  <c:v>Dipartimento delle Professioni Tecnico Sanitarie</c:v>
                </c:pt>
                <c:pt idx="7">
                  <c:v>Dipartimento delle Specialistiche chirurgiche</c:v>
                </c:pt>
                <c:pt idx="8">
                  <c:v>Dipartimento delle Specialistiche mediche</c:v>
                </c:pt>
                <c:pt idx="9">
                  <c:v>Dipartimento di Medicina Fisica e Riabilitazione</c:v>
                </c:pt>
                <c:pt idx="10">
                  <c:v>Dipartimento di Medicina Generale</c:v>
                </c:pt>
                <c:pt idx="11">
                  <c:v>Dipartimento Diagnostica per Immagini</c:v>
                </c:pt>
                <c:pt idx="12">
                  <c:v>Dipartimento Emergenza e area critica</c:v>
                </c:pt>
                <c:pt idx="13">
                  <c:v>Dipartimento Materno Infantile</c:v>
                </c:pt>
                <c:pt idx="14">
                  <c:v>Dipartimento Medicina di Laboratorio</c:v>
                </c:pt>
                <c:pt idx="15">
                  <c:v>Dipartimento Oncologico</c:v>
                </c:pt>
                <c:pt idx="16">
                  <c:v>Dipartimento Rete Sanitaria Territoriale</c:v>
                </c:pt>
                <c:pt idx="17">
                  <c:v>Dipartimento Risorse Umane</c:v>
                </c:pt>
                <c:pt idx="18">
                  <c:v>Dipartimento Salute Mentale e Dipendenze</c:v>
                </c:pt>
                <c:pt idx="19">
                  <c:v>Dipartimento Servizio Sociale</c:v>
                </c:pt>
                <c:pt idx="20">
                  <c:v>Direzioni di Zona/SdS</c:v>
                </c:pt>
                <c:pt idx="21">
                  <c:v>Rete Ospedaliera</c:v>
                </c:pt>
                <c:pt idx="22">
                  <c:v>Staff della Direzione Generale</c:v>
                </c:pt>
                <c:pt idx="23">
                  <c:v>Staff della Direzione Sanitaria</c:v>
                </c:pt>
                <c:pt idx="24">
                  <c:v>Strutture afferenti ai Direttori della Direzione Strategica</c:v>
                </c:pt>
              </c:strCache>
            </c:strRef>
          </c:cat>
          <c:val>
            <c:numRef>
              <c:f>0</c:f>
              <c:numCache>
                <c:formatCode>General</c:formatCode>
                <c:ptCount val="25"/>
                <c:pt idx="0">
                  <c:v>99.8181818181818</c:v>
                </c:pt>
                <c:pt idx="1">
                  <c:v>100</c:v>
                </c:pt>
                <c:pt idx="2">
                  <c:v>99.5909090909091</c:v>
                </c:pt>
                <c:pt idx="3">
                  <c:v>96.3636363636364</c:v>
                </c:pt>
                <c:pt idx="4">
                  <c:v>100</c:v>
                </c:pt>
                <c:pt idx="5">
                  <c:v>99.0000002724784</c:v>
                </c:pt>
                <c:pt idx="6">
                  <c:v>100</c:v>
                </c:pt>
                <c:pt idx="7">
                  <c:v>98</c:v>
                </c:pt>
                <c:pt idx="8">
                  <c:v>98.3921568627451</c:v>
                </c:pt>
                <c:pt idx="9">
                  <c:v>98.1666666666667</c:v>
                </c:pt>
                <c:pt idx="10">
                  <c:v>100</c:v>
                </c:pt>
                <c:pt idx="11">
                  <c:v>97.1666666666667</c:v>
                </c:pt>
                <c:pt idx="12">
                  <c:v>98.6875</c:v>
                </c:pt>
                <c:pt idx="13">
                  <c:v>97.7</c:v>
                </c:pt>
                <c:pt idx="14">
                  <c:v>98.125</c:v>
                </c:pt>
                <c:pt idx="15">
                  <c:v>98.5192307692308</c:v>
                </c:pt>
                <c:pt idx="16">
                  <c:v>96.8275862068966</c:v>
                </c:pt>
                <c:pt idx="17">
                  <c:v>100</c:v>
                </c:pt>
                <c:pt idx="18">
                  <c:v>100</c:v>
                </c:pt>
                <c:pt idx="19">
                  <c:v>100</c:v>
                </c:pt>
                <c:pt idx="20">
                  <c:v>100</c:v>
                </c:pt>
                <c:pt idx="21">
                  <c:v>97.5714285714286</c:v>
                </c:pt>
                <c:pt idx="22">
                  <c:v>100</c:v>
                </c:pt>
                <c:pt idx="23">
                  <c:v>99.8125</c:v>
                </c:pt>
                <c:pt idx="24">
                  <c:v>99.6363636363637</c:v>
                </c:pt>
              </c:numCache>
            </c:numRef>
          </c:val>
        </c:ser>
        <c:gapWidth val="182"/>
        <c:overlap val="0"/>
        <c:axId val="15986733"/>
        <c:axId val="67408357"/>
      </c:barChart>
      <c:catAx>
        <c:axId val="1598673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67408357"/>
        <c:crosses val="autoZero"/>
        <c:auto val="1"/>
        <c:lblAlgn val="ctr"/>
        <c:lblOffset val="100"/>
        <c:noMultiLvlLbl val="0"/>
      </c:catAx>
      <c:valAx>
        <c:axId val="67408357"/>
        <c:scaling>
          <c:orientation val="minMax"/>
          <c:max val="105"/>
          <c:min val="90"/>
        </c:scaling>
        <c:delete val="0"/>
        <c:axPos val="l"/>
        <c:numFmt formatCode="0.0"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15986733"/>
        <c:crosses val="autoZero"/>
        <c:crossBetween val="between"/>
        <c:majorUnit val="5"/>
      </c:valAx>
      <c:spPr>
        <a:noFill/>
        <a:ln w="25560">
          <a:noFill/>
        </a:ln>
      </c:spPr>
    </c:plotArea>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ineChart>
        <c:grouping val="standard"/>
        <c:varyColors val="0"/>
        <c:ser>
          <c:idx val="0"/>
          <c:order val="0"/>
          <c:tx>
            <c:strRef>
              <c:f>label 0</c:f>
              <c:strCache>
                <c:ptCount val="1"/>
                <c:pt idx="0">
                  <c:v>2020</c:v>
                </c:pt>
              </c:strCache>
            </c:strRef>
          </c:tx>
          <c:spPr>
            <a:solidFill>
              <a:srgbClr val="4f81bd"/>
            </a:solidFill>
            <a:ln cap="rnd" w="28440">
              <a:solidFill>
                <a:srgbClr val="4f81bd"/>
              </a:solidFill>
              <a:round/>
            </a:ln>
          </c:spPr>
          <c:marker>
            <c:symbol val="none"/>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gen</c:v>
                </c:pt>
                <c:pt idx="1">
                  <c:v>feb</c:v>
                </c:pt>
                <c:pt idx="2">
                  <c:v>mar</c:v>
                </c:pt>
                <c:pt idx="3">
                  <c:v>apr</c:v>
                </c:pt>
                <c:pt idx="4">
                  <c:v>mag</c:v>
                </c:pt>
                <c:pt idx="5">
                  <c:v>giu</c:v>
                </c:pt>
                <c:pt idx="6">
                  <c:v>lug</c:v>
                </c:pt>
                <c:pt idx="7">
                  <c:v>ago</c:v>
                </c:pt>
                <c:pt idx="8">
                  <c:v>set</c:v>
                </c:pt>
                <c:pt idx="9">
                  <c:v>ott</c:v>
                </c:pt>
                <c:pt idx="10">
                  <c:v>nov</c:v>
                </c:pt>
                <c:pt idx="11">
                  <c:v>dic</c:v>
                </c:pt>
              </c:strCache>
            </c:strRef>
          </c:cat>
          <c:val>
            <c:numRef>
              <c:f>0</c:f>
              <c:numCache>
                <c:formatCode>General</c:formatCode>
                <c:ptCount val="12"/>
                <c:pt idx="0">
                  <c:v>333.3</c:v>
                </c:pt>
                <c:pt idx="1">
                  <c:v>104.2</c:v>
                </c:pt>
                <c:pt idx="2">
                  <c:v>22.9</c:v>
                </c:pt>
                <c:pt idx="3">
                  <c:v>18.3</c:v>
                </c:pt>
                <c:pt idx="4">
                  <c:v>87.4</c:v>
                </c:pt>
                <c:pt idx="5">
                  <c:v>178.2</c:v>
                </c:pt>
                <c:pt idx="6">
                  <c:v>75.6</c:v>
                </c:pt>
                <c:pt idx="7">
                  <c:v>18.6</c:v>
                </c:pt>
                <c:pt idx="8">
                  <c:v>27.9</c:v>
                </c:pt>
                <c:pt idx="9">
                  <c:v>5.1</c:v>
                </c:pt>
                <c:pt idx="10">
                  <c:v>7</c:v>
                </c:pt>
                <c:pt idx="11">
                  <c:v>9.6</c:v>
                </c:pt>
              </c:numCache>
            </c:numRef>
          </c:val>
          <c:smooth val="1"/>
        </c:ser>
        <c:ser>
          <c:idx val="1"/>
          <c:order val="1"/>
          <c:tx>
            <c:strRef>
              <c:f>label 1</c:f>
              <c:strCache>
                <c:ptCount val="1"/>
                <c:pt idx="0">
                  <c:v>2021</c:v>
                </c:pt>
              </c:strCache>
            </c:strRef>
          </c:tx>
          <c:spPr>
            <a:solidFill>
              <a:srgbClr val="c0504d"/>
            </a:solidFill>
            <a:ln cap="rnd" w="28440">
              <a:solidFill>
                <a:srgbClr val="c0504d"/>
              </a:solidFill>
              <a:round/>
            </a:ln>
          </c:spPr>
          <c:marker>
            <c:symbol val="none"/>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gen</c:v>
                </c:pt>
                <c:pt idx="1">
                  <c:v>feb</c:v>
                </c:pt>
                <c:pt idx="2">
                  <c:v>mar</c:v>
                </c:pt>
                <c:pt idx="3">
                  <c:v>apr</c:v>
                </c:pt>
                <c:pt idx="4">
                  <c:v>mag</c:v>
                </c:pt>
                <c:pt idx="5">
                  <c:v>giu</c:v>
                </c:pt>
                <c:pt idx="6">
                  <c:v>lug</c:v>
                </c:pt>
                <c:pt idx="7">
                  <c:v>ago</c:v>
                </c:pt>
                <c:pt idx="8">
                  <c:v>set</c:v>
                </c:pt>
                <c:pt idx="9">
                  <c:v>ott</c:v>
                </c:pt>
                <c:pt idx="10">
                  <c:v>nov</c:v>
                </c:pt>
                <c:pt idx="11">
                  <c:v>dic</c:v>
                </c:pt>
              </c:strCache>
            </c:strRef>
          </c:cat>
          <c:val>
            <c:numRef>
              <c:f>1</c:f>
              <c:numCache>
                <c:formatCode>General</c:formatCode>
                <c:ptCount val="12"/>
                <c:pt idx="0">
                  <c:v>132.2</c:v>
                </c:pt>
                <c:pt idx="1">
                  <c:v>95.4</c:v>
                </c:pt>
                <c:pt idx="2">
                  <c:v>121.4</c:v>
                </c:pt>
                <c:pt idx="3">
                  <c:v>169.7</c:v>
                </c:pt>
                <c:pt idx="4">
                  <c:v>154.9</c:v>
                </c:pt>
                <c:pt idx="5">
                  <c:v>184.2</c:v>
                </c:pt>
                <c:pt idx="6">
                  <c:v>40.3</c:v>
                </c:pt>
                <c:pt idx="7">
                  <c:v>65.7</c:v>
                </c:pt>
                <c:pt idx="8">
                  <c:v>87</c:v>
                </c:pt>
                <c:pt idx="9">
                  <c:v>90.5</c:v>
                </c:pt>
                <c:pt idx="10">
                  <c:v>56.9</c:v>
                </c:pt>
                <c:pt idx="11">
                  <c:v>7.7</c:v>
                </c:pt>
              </c:numCache>
            </c:numRef>
          </c:val>
          <c:smooth val="1"/>
        </c:ser>
        <c:ser>
          <c:idx val="2"/>
          <c:order val="2"/>
          <c:tx>
            <c:strRef>
              <c:f>label 2</c:f>
              <c:strCache>
                <c:ptCount val="1"/>
                <c:pt idx="0">
                  <c:v>2022</c:v>
                </c:pt>
              </c:strCache>
            </c:strRef>
          </c:tx>
          <c:spPr>
            <a:solidFill>
              <a:srgbClr val="9bbb59"/>
            </a:solidFill>
            <a:ln cap="rnd" w="28440">
              <a:solidFill>
                <a:srgbClr val="9bbb59"/>
              </a:solidFill>
              <a:round/>
            </a:ln>
          </c:spPr>
          <c:marker>
            <c:symbol val="none"/>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gen</c:v>
                </c:pt>
                <c:pt idx="1">
                  <c:v>feb</c:v>
                </c:pt>
                <c:pt idx="2">
                  <c:v>mar</c:v>
                </c:pt>
                <c:pt idx="3">
                  <c:v>apr</c:v>
                </c:pt>
                <c:pt idx="4">
                  <c:v>mag</c:v>
                </c:pt>
                <c:pt idx="5">
                  <c:v>giu</c:v>
                </c:pt>
                <c:pt idx="6">
                  <c:v>lug</c:v>
                </c:pt>
                <c:pt idx="7">
                  <c:v>ago</c:v>
                </c:pt>
                <c:pt idx="8">
                  <c:v>set</c:v>
                </c:pt>
                <c:pt idx="9">
                  <c:v>ott</c:v>
                </c:pt>
                <c:pt idx="10">
                  <c:v>nov</c:v>
                </c:pt>
                <c:pt idx="11">
                  <c:v>dic</c:v>
                </c:pt>
              </c:strCache>
            </c:strRef>
          </c:cat>
          <c:val>
            <c:numRef>
              <c:f>2</c:f>
              <c:numCache>
                <c:formatCode>General</c:formatCode>
                <c:ptCount val="12"/>
                <c:pt idx="0">
                  <c:v>12</c:v>
                </c:pt>
                <c:pt idx="1">
                  <c:v>28.6</c:v>
                </c:pt>
                <c:pt idx="2">
                  <c:v>26.8</c:v>
                </c:pt>
                <c:pt idx="3">
                  <c:v>20.7</c:v>
                </c:pt>
                <c:pt idx="4">
                  <c:v>25.4</c:v>
                </c:pt>
                <c:pt idx="5">
                  <c:v>17.5</c:v>
                </c:pt>
                <c:pt idx="6">
                  <c:v>16.9</c:v>
                </c:pt>
                <c:pt idx="7">
                  <c:v>31.6</c:v>
                </c:pt>
                <c:pt idx="8">
                  <c:v>23.2</c:v>
                </c:pt>
                <c:pt idx="9">
                  <c:v>24.9</c:v>
                </c:pt>
                <c:pt idx="10">
                  <c:v>32.8</c:v>
                </c:pt>
                <c:pt idx="11">
                  <c:v>34</c:v>
                </c:pt>
              </c:numCache>
            </c:numRef>
          </c:val>
          <c:smooth val="1"/>
        </c:ser>
        <c:ser>
          <c:idx val="3"/>
          <c:order val="3"/>
          <c:tx>
            <c:strRef>
              <c:f>label 3</c:f>
              <c:strCache>
                <c:ptCount val="1"/>
                <c:pt idx="0">
                  <c:v>2023</c:v>
                </c:pt>
              </c:strCache>
            </c:strRef>
          </c:tx>
          <c:spPr>
            <a:solidFill>
              <a:srgbClr val="8064a2"/>
            </a:solidFill>
            <a:ln cap="rnd" w="28440">
              <a:solidFill>
                <a:srgbClr val="8064a2"/>
              </a:solidFill>
              <a:round/>
            </a:ln>
          </c:spPr>
          <c:marker>
            <c:symbol val="none"/>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gen</c:v>
                </c:pt>
                <c:pt idx="1">
                  <c:v>feb</c:v>
                </c:pt>
                <c:pt idx="2">
                  <c:v>mar</c:v>
                </c:pt>
                <c:pt idx="3">
                  <c:v>apr</c:v>
                </c:pt>
                <c:pt idx="4">
                  <c:v>mag</c:v>
                </c:pt>
                <c:pt idx="5">
                  <c:v>giu</c:v>
                </c:pt>
                <c:pt idx="6">
                  <c:v>lug</c:v>
                </c:pt>
                <c:pt idx="7">
                  <c:v>ago</c:v>
                </c:pt>
                <c:pt idx="8">
                  <c:v>set</c:v>
                </c:pt>
                <c:pt idx="9">
                  <c:v>ott</c:v>
                </c:pt>
                <c:pt idx="10">
                  <c:v>nov</c:v>
                </c:pt>
                <c:pt idx="11">
                  <c:v>dic</c:v>
                </c:pt>
              </c:strCache>
            </c:strRef>
          </c:cat>
          <c:val>
            <c:numRef>
              <c:f>3</c:f>
              <c:numCache>
                <c:formatCode>General</c:formatCode>
                <c:ptCount val="12"/>
                <c:pt idx="0">
                  <c:v>0</c:v>
                </c:pt>
                <c:pt idx="1">
                  <c:v>0</c:v>
                </c:pt>
              </c:numCache>
            </c:numRef>
          </c:val>
          <c:smooth val="1"/>
        </c:ser>
        <c:hiLowLines>
          <c:spPr>
            <a:ln w="0">
              <a:noFill/>
            </a:ln>
          </c:spPr>
        </c:hiLowLines>
        <c:marker val="0"/>
        <c:axId val="73848820"/>
        <c:axId val="17006664"/>
      </c:lineChart>
      <c:catAx>
        <c:axId val="7384882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17006664"/>
        <c:crosses val="autoZero"/>
        <c:auto val="1"/>
        <c:lblAlgn val="ctr"/>
        <c:lblOffset val="100"/>
        <c:noMultiLvlLbl val="0"/>
      </c:catAx>
      <c:valAx>
        <c:axId val="17006664"/>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73848820"/>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ineChart>
        <c:grouping val="standard"/>
        <c:varyColors val="0"/>
        <c:ser>
          <c:idx val="0"/>
          <c:order val="0"/>
          <c:tx>
            <c:strRef>
              <c:f>label 0</c:f>
              <c:strCache>
                <c:ptCount val="1"/>
                <c:pt idx="0">
                  <c:v>Serie1</c:v>
                </c:pt>
              </c:strCache>
            </c:strRef>
          </c:tx>
          <c:spPr>
            <a:solidFill>
              <a:srgbClr val="4a7ebb"/>
            </a:solidFill>
            <a:ln w="28440">
              <a:solidFill>
                <a:srgbClr val="4a7ebb"/>
              </a:solidFill>
              <a:round/>
            </a:ln>
          </c:spPr>
          <c:dPt>
            <c:idx val="0"/>
          </c:dPt>
          <c:dPt>
            <c:idx val="2"/>
          </c:dPt>
          <c:dPt>
            <c:idx val="4"/>
          </c:dPt>
          <c:dPt>
            <c:idx val="6"/>
          </c:dPt>
          <c:dPt>
            <c:idx val="8"/>
          </c:dPt>
          <c:dPt>
            <c:idx val="10"/>
          </c:dPt>
          <c:dPt>
            <c:idx val="12"/>
          </c:dPt>
          <c:dPt>
            <c:idx val="14"/>
          </c:dPt>
          <c:dPt>
            <c:idx val="16"/>
          </c:dPt>
          <c:dLbls>
            <c:numFmt formatCode="#,##0" sourceLinked="0"/>
            <c:dLbl>
              <c:idx val="0"/>
              <c:txPr>
                <a:bodyPr wrap="square"/>
                <a:lstStyle/>
                <a:p>
                  <a:pPr>
                    <a:defRPr b="1" sz="1400" spc="-1" strike="noStrike">
                      <a:solidFill>
                        <a:srgbClr val="0070c0"/>
                      </a:solidFill>
                      <a:latin typeface="Calibri"/>
                    </a:defRPr>
                  </a:pPr>
                </a:p>
              </c:txPr>
              <c:dLblPos val="t"/>
              <c:showLegendKey val="0"/>
              <c:showVal val="0"/>
              <c:showCatName val="0"/>
              <c:showSerName val="0"/>
              <c:showPercent val="0"/>
              <c:separator>; </c:separator>
            </c:dLbl>
            <c:dLbl>
              <c:idx val="2"/>
              <c:txPr>
                <a:bodyPr wrap="square"/>
                <a:lstStyle/>
                <a:p>
                  <a:pPr>
                    <a:defRPr b="1" sz="1400" spc="-1" strike="noStrike">
                      <a:solidFill>
                        <a:srgbClr val="0070c0"/>
                      </a:solidFill>
                      <a:latin typeface="Calibri"/>
                    </a:defRPr>
                  </a:pPr>
                </a:p>
              </c:txPr>
              <c:dLblPos val="t"/>
              <c:showLegendKey val="0"/>
              <c:showVal val="0"/>
              <c:showCatName val="0"/>
              <c:showSerName val="0"/>
              <c:showPercent val="0"/>
              <c:separator>; </c:separator>
            </c:dLbl>
            <c:dLbl>
              <c:idx val="4"/>
              <c:txPr>
                <a:bodyPr wrap="square"/>
                <a:lstStyle/>
                <a:p>
                  <a:pPr>
                    <a:defRPr b="1" sz="1400" spc="-1" strike="noStrike">
                      <a:solidFill>
                        <a:srgbClr val="0070c0"/>
                      </a:solidFill>
                      <a:latin typeface="Calibri"/>
                    </a:defRPr>
                  </a:pPr>
                </a:p>
              </c:txPr>
              <c:dLblPos val="t"/>
              <c:showLegendKey val="0"/>
              <c:showVal val="0"/>
              <c:showCatName val="0"/>
              <c:showSerName val="0"/>
              <c:showPercent val="0"/>
              <c:separator>; </c:separator>
            </c:dLbl>
            <c:dLbl>
              <c:idx val="6"/>
              <c:txPr>
                <a:bodyPr wrap="square"/>
                <a:lstStyle/>
                <a:p>
                  <a:pPr>
                    <a:defRPr b="1" sz="1400" spc="-1" strike="noStrike">
                      <a:solidFill>
                        <a:srgbClr val="0070c0"/>
                      </a:solidFill>
                      <a:latin typeface="Calibri"/>
                    </a:defRPr>
                  </a:pPr>
                </a:p>
              </c:txPr>
              <c:dLblPos val="t"/>
              <c:showLegendKey val="0"/>
              <c:showVal val="0"/>
              <c:showCatName val="0"/>
              <c:showSerName val="0"/>
              <c:showPercent val="0"/>
              <c:separator>; </c:separator>
            </c:dLbl>
            <c:dLbl>
              <c:idx val="8"/>
              <c:txPr>
                <a:bodyPr wrap="square"/>
                <a:lstStyle/>
                <a:p>
                  <a:pPr>
                    <a:defRPr b="1" sz="1400" spc="-1" strike="noStrike">
                      <a:solidFill>
                        <a:srgbClr val="0070c0"/>
                      </a:solidFill>
                      <a:latin typeface="Calibri"/>
                    </a:defRPr>
                  </a:pPr>
                </a:p>
              </c:txPr>
              <c:dLblPos val="t"/>
              <c:showLegendKey val="0"/>
              <c:showVal val="0"/>
              <c:showCatName val="0"/>
              <c:showSerName val="0"/>
              <c:showPercent val="0"/>
              <c:separator>; </c:separator>
            </c:dLbl>
            <c:dLbl>
              <c:idx val="10"/>
              <c:txPr>
                <a:bodyPr wrap="square"/>
                <a:lstStyle/>
                <a:p>
                  <a:pPr>
                    <a:defRPr b="1" sz="1400" spc="-1" strike="noStrike">
                      <a:solidFill>
                        <a:srgbClr val="0070c0"/>
                      </a:solidFill>
                      <a:latin typeface="Calibri"/>
                    </a:defRPr>
                  </a:pPr>
                </a:p>
              </c:txPr>
              <c:dLblPos val="t"/>
              <c:showLegendKey val="0"/>
              <c:showVal val="0"/>
              <c:showCatName val="0"/>
              <c:showSerName val="0"/>
              <c:showPercent val="0"/>
              <c:separator>; </c:separator>
            </c:dLbl>
            <c:dLbl>
              <c:idx val="12"/>
              <c:txPr>
                <a:bodyPr wrap="square"/>
                <a:lstStyle/>
                <a:p>
                  <a:pPr>
                    <a:defRPr b="1" sz="1400" spc="-1" strike="noStrike">
                      <a:solidFill>
                        <a:srgbClr val="0070c0"/>
                      </a:solidFill>
                      <a:latin typeface="Calibri"/>
                    </a:defRPr>
                  </a:pPr>
                </a:p>
              </c:txPr>
              <c:dLblPos val="t"/>
              <c:showLegendKey val="0"/>
              <c:showVal val="0"/>
              <c:showCatName val="0"/>
              <c:showSerName val="0"/>
              <c:showPercent val="0"/>
              <c:separator>; </c:separator>
            </c:dLbl>
            <c:dLbl>
              <c:idx val="14"/>
              <c:txPr>
                <a:bodyPr wrap="square"/>
                <a:lstStyle/>
                <a:p>
                  <a:pPr>
                    <a:defRPr b="1" sz="1400" spc="-1" strike="noStrike">
                      <a:solidFill>
                        <a:srgbClr val="0070c0"/>
                      </a:solidFill>
                      <a:latin typeface="Calibri"/>
                    </a:defRPr>
                  </a:pPr>
                </a:p>
              </c:txPr>
              <c:dLblPos val="t"/>
              <c:showLegendKey val="0"/>
              <c:showVal val="0"/>
              <c:showCatName val="0"/>
              <c:showSerName val="0"/>
              <c:showPercent val="0"/>
              <c:separator>; </c:separator>
            </c:dLbl>
            <c:dLbl>
              <c:idx val="16"/>
              <c:txPr>
                <a:bodyPr wrap="square"/>
                <a:lstStyle/>
                <a:p>
                  <a:pPr>
                    <a:defRPr b="1" sz="1400" spc="-1" strike="noStrike">
                      <a:solidFill>
                        <a:srgbClr val="0070c0"/>
                      </a:solidFill>
                      <a:latin typeface="Calibri"/>
                    </a:defRPr>
                  </a:pPr>
                </a:p>
              </c:txPr>
              <c:dLblPos val="t"/>
              <c:showLegendKey val="0"/>
              <c:showVal val="0"/>
              <c:showCatName val="0"/>
              <c:showSerName val="0"/>
              <c:showPercent val="0"/>
              <c:separator>; </c:separator>
            </c:dLbl>
            <c:txPr>
              <a:bodyPr wrap="square"/>
              <a:lstStyle/>
              <a:p>
                <a:pPr>
                  <a:defRPr b="1" sz="1400" spc="-1" strike="noStrike">
                    <a:solidFill>
                      <a:srgbClr val="0070c0"/>
                    </a:solidFill>
                    <a:latin typeface="Calibri"/>
                  </a:defRPr>
                </a:pPr>
              </a:p>
            </c:txPr>
            <c:dLblPos val="t"/>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8"/>
                <c:pt idx="0">
                  <c:v>mar-20</c:v>
                </c:pt>
                <c:pt idx="1">
                  <c:v>mag-20</c:v>
                </c:pt>
                <c:pt idx="2">
                  <c:v>lug-20</c:v>
                </c:pt>
                <c:pt idx="3">
                  <c:v>set-20</c:v>
                </c:pt>
                <c:pt idx="4">
                  <c:v>nov-20</c:v>
                </c:pt>
                <c:pt idx="5">
                  <c:v>gen-21</c:v>
                </c:pt>
                <c:pt idx="6">
                  <c:v>mar-21</c:v>
                </c:pt>
                <c:pt idx="7">
                  <c:v>mag-21</c:v>
                </c:pt>
                <c:pt idx="8">
                  <c:v>lug-21</c:v>
                </c:pt>
                <c:pt idx="9">
                  <c:v>set-21</c:v>
                </c:pt>
                <c:pt idx="10">
                  <c:v>nov-21</c:v>
                </c:pt>
                <c:pt idx="11">
                  <c:v>gen-22</c:v>
                </c:pt>
                <c:pt idx="12">
                  <c:v>mar-22</c:v>
                </c:pt>
                <c:pt idx="13">
                  <c:v>mag-22</c:v>
                </c:pt>
                <c:pt idx="14">
                  <c:v>lug-22</c:v>
                </c:pt>
                <c:pt idx="15">
                  <c:v>set-22</c:v>
                </c:pt>
                <c:pt idx="16">
                  <c:v>nov-22</c:v>
                </c:pt>
                <c:pt idx="17">
                  <c:v>gen-23</c:v>
                </c:pt>
              </c:strCache>
            </c:strRef>
          </c:cat>
          <c:val>
            <c:numRef>
              <c:f>0</c:f>
              <c:numCache>
                <c:formatCode>General</c:formatCode>
                <c:ptCount val="18"/>
                <c:pt idx="0">
                  <c:v>16439</c:v>
                </c:pt>
                <c:pt idx="1">
                  <c:v>16151</c:v>
                </c:pt>
                <c:pt idx="2">
                  <c:v>16078</c:v>
                </c:pt>
                <c:pt idx="3">
                  <c:v>16614</c:v>
                </c:pt>
                <c:pt idx="4">
                  <c:v>17466</c:v>
                </c:pt>
                <c:pt idx="5">
                  <c:v>18191</c:v>
                </c:pt>
                <c:pt idx="6">
                  <c:v>18496</c:v>
                </c:pt>
                <c:pt idx="7">
                  <c:v>19422</c:v>
                </c:pt>
                <c:pt idx="8">
                  <c:v>19653</c:v>
                </c:pt>
                <c:pt idx="9">
                  <c:v>19994</c:v>
                </c:pt>
                <c:pt idx="10">
                  <c:v>19981</c:v>
                </c:pt>
                <c:pt idx="11">
                  <c:v>20173</c:v>
                </c:pt>
                <c:pt idx="12">
                  <c:v>21294</c:v>
                </c:pt>
                <c:pt idx="13">
                  <c:v>21373</c:v>
                </c:pt>
                <c:pt idx="14">
                  <c:v>20677</c:v>
                </c:pt>
                <c:pt idx="15">
                  <c:v>20754</c:v>
                </c:pt>
                <c:pt idx="16">
                  <c:v>20316</c:v>
                </c:pt>
                <c:pt idx="17">
                  <c:v>19695</c:v>
                </c:pt>
              </c:numCache>
            </c:numRef>
          </c:val>
          <c:smooth val="0"/>
        </c:ser>
        <c:hiLowLines>
          <c:spPr>
            <a:ln w="0">
              <a:noFill/>
            </a:ln>
          </c:spPr>
        </c:hiLowLines>
        <c:marker val="1"/>
        <c:axId val="93075866"/>
        <c:axId val="22942044"/>
      </c:lineChart>
      <c:catAx>
        <c:axId val="93075866"/>
        <c:scaling>
          <c:orientation val="minMax"/>
        </c:scaling>
        <c:delete val="0"/>
        <c:axPos val="b"/>
        <c:numFmt formatCode="[$-410]mmm\-yy;@" sourceLinked="0"/>
        <c:majorTickMark val="out"/>
        <c:minorTickMark val="none"/>
        <c:tickLblPos val="nextTo"/>
        <c:spPr>
          <a:ln w="9360">
            <a:solidFill>
              <a:srgbClr val="d9d9d9"/>
            </a:solidFill>
            <a:round/>
          </a:ln>
        </c:spPr>
        <c:txPr>
          <a:bodyPr rot="-2700000"/>
          <a:lstStyle/>
          <a:p>
            <a:pPr>
              <a:defRPr b="1" sz="1200" spc="-1" strike="noStrike">
                <a:solidFill>
                  <a:srgbClr val="000000"/>
                </a:solidFill>
                <a:latin typeface="Calibri"/>
              </a:defRPr>
            </a:pPr>
          </a:p>
        </c:txPr>
        <c:crossAx val="22942044"/>
        <c:crosses val="autoZero"/>
        <c:auto val="1"/>
        <c:lblAlgn val="ctr"/>
        <c:lblOffset val="100"/>
        <c:noMultiLvlLbl val="0"/>
      </c:catAx>
      <c:valAx>
        <c:axId val="22942044"/>
        <c:scaling>
          <c:orientation val="minMax"/>
          <c:max val="25000"/>
          <c:min val="12000"/>
        </c:scaling>
        <c:delete val="0"/>
        <c:axPos val="l"/>
        <c:majorGridlines>
          <c:spPr>
            <a:ln w="9360">
              <a:solidFill>
                <a:srgbClr val="d9d9d9"/>
              </a:solidFill>
              <a:round/>
            </a:ln>
          </c:spPr>
        </c:majorGridlines>
        <c:numFmt formatCode="#,##0" sourceLinked="0"/>
        <c:majorTickMark val="none"/>
        <c:minorTickMark val="none"/>
        <c:tickLblPos val="nextTo"/>
        <c:spPr>
          <a:ln w="9360">
            <a:noFill/>
          </a:ln>
        </c:spPr>
        <c:txPr>
          <a:bodyPr/>
          <a:lstStyle/>
          <a:p>
            <a:pPr>
              <a:defRPr b="1" sz="1000" spc="-1" strike="noStrike">
                <a:solidFill>
                  <a:srgbClr val="000000"/>
                </a:solidFill>
                <a:latin typeface="Calibri"/>
              </a:defRPr>
            </a:pPr>
          </a:p>
        </c:txPr>
        <c:crossAx val="93075866"/>
        <c:crosses val="autoZero"/>
        <c:crossBetween val="between"/>
      </c:valAx>
      <c:spPr>
        <a:noFill/>
        <a:ln w="0">
          <a:noFill/>
        </a:ln>
      </c:spPr>
    </c:plotArea>
    <c:plotVisOnly val="1"/>
    <c:dispBlanksAs val="gap"/>
  </c:chart>
  <c:spPr>
    <a:solidFill>
      <a:srgbClr val="ffffff"/>
    </a:solidFill>
    <a:ln w="9360">
      <a:solidFill>
        <a:srgbClr val="d9d9d9"/>
      </a:solidFill>
      <a:round/>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stacked"/>
        <c:varyColors val="0"/>
        <c:ser>
          <c:idx val="0"/>
          <c:order val="0"/>
          <c:tx>
            <c:strRef>
              <c:f>label 0</c:f>
              <c:strCache>
                <c:ptCount val="1"/>
                <c:pt idx="0">
                  <c:v>A</c:v>
                </c:pt>
              </c:strCache>
            </c:strRef>
          </c:tx>
          <c:spPr>
            <a:solidFill>
              <a:srgbClr val="4f81bd"/>
            </a:solidFill>
            <a:ln w="0">
              <a:noFill/>
            </a:ln>
          </c:spPr>
          <c:invertIfNegative val="0"/>
          <c:dLbls>
            <c:txPr>
              <a:bodyPr wrap="none"/>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NSGD</c:v>
                </c:pt>
                <c:pt idx="1">
                  <c:v>BSL</c:v>
                </c:pt>
                <c:pt idx="2">
                  <c:v>SMN</c:v>
                </c:pt>
                <c:pt idx="3">
                  <c:v>IOT</c:v>
                </c:pt>
                <c:pt idx="4">
                  <c:v>OSMA</c:v>
                </c:pt>
                <c:pt idx="5">
                  <c:v>SERR</c:v>
                </c:pt>
                <c:pt idx="6">
                  <c:v>PISTOIA</c:v>
                </c:pt>
                <c:pt idx="7">
                  <c:v>PESCIA</c:v>
                </c:pt>
                <c:pt idx="8">
                  <c:v>PRATO</c:v>
                </c:pt>
                <c:pt idx="9">
                  <c:v>EMPOLI</c:v>
                </c:pt>
                <c:pt idx="10">
                  <c:v>FUCECCHIO</c:v>
                </c:pt>
              </c:strCache>
            </c:strRef>
          </c:cat>
          <c:val>
            <c:numRef>
              <c:f>0</c:f>
              <c:numCache>
                <c:formatCode>General</c:formatCode>
                <c:ptCount val="11"/>
                <c:pt idx="0">
                  <c:v>101</c:v>
                </c:pt>
                <c:pt idx="1">
                  <c:v>12</c:v>
                </c:pt>
                <c:pt idx="2">
                  <c:v>225</c:v>
                </c:pt>
                <c:pt idx="3">
                  <c:v>320</c:v>
                </c:pt>
                <c:pt idx="4">
                  <c:v>349</c:v>
                </c:pt>
                <c:pt idx="5">
                  <c:v>6</c:v>
                </c:pt>
                <c:pt idx="6">
                  <c:v>230</c:v>
                </c:pt>
                <c:pt idx="7">
                  <c:v>47</c:v>
                </c:pt>
                <c:pt idx="8">
                  <c:v>334</c:v>
                </c:pt>
                <c:pt idx="9">
                  <c:v>257</c:v>
                </c:pt>
                <c:pt idx="10">
                  <c:v>65</c:v>
                </c:pt>
              </c:numCache>
            </c:numRef>
          </c:val>
        </c:ser>
        <c:ser>
          <c:idx val="1"/>
          <c:order val="1"/>
          <c:tx>
            <c:strRef>
              <c:f>label 1</c:f>
              <c:strCache>
                <c:ptCount val="1"/>
                <c:pt idx="0">
                  <c:v>B</c:v>
                </c:pt>
              </c:strCache>
            </c:strRef>
          </c:tx>
          <c:spPr>
            <a:solidFill>
              <a:srgbClr val="c0504d"/>
            </a:solidFill>
            <a:ln w="0">
              <a:noFill/>
            </a:ln>
          </c:spPr>
          <c:invertIfNegative val="0"/>
          <c:dLbls>
            <c:txPr>
              <a:bodyPr wrap="none"/>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NSGD</c:v>
                </c:pt>
                <c:pt idx="1">
                  <c:v>BSL</c:v>
                </c:pt>
                <c:pt idx="2">
                  <c:v>SMN</c:v>
                </c:pt>
                <c:pt idx="3">
                  <c:v>IOT</c:v>
                </c:pt>
                <c:pt idx="4">
                  <c:v>OSMA</c:v>
                </c:pt>
                <c:pt idx="5">
                  <c:v>SERR</c:v>
                </c:pt>
                <c:pt idx="6">
                  <c:v>PISTOIA</c:v>
                </c:pt>
                <c:pt idx="7">
                  <c:v>PESCIA</c:v>
                </c:pt>
                <c:pt idx="8">
                  <c:v>PRATO</c:v>
                </c:pt>
                <c:pt idx="9">
                  <c:v>EMPOLI</c:v>
                </c:pt>
                <c:pt idx="10">
                  <c:v>FUCECCHIO</c:v>
                </c:pt>
              </c:strCache>
            </c:strRef>
          </c:cat>
          <c:val>
            <c:numRef>
              <c:f>1</c:f>
              <c:numCache>
                <c:formatCode>General</c:formatCode>
                <c:ptCount val="11"/>
                <c:pt idx="0">
                  <c:v>676</c:v>
                </c:pt>
                <c:pt idx="1">
                  <c:v>226</c:v>
                </c:pt>
                <c:pt idx="2">
                  <c:v>763</c:v>
                </c:pt>
                <c:pt idx="3">
                  <c:v>431</c:v>
                </c:pt>
                <c:pt idx="4">
                  <c:v>367</c:v>
                </c:pt>
                <c:pt idx="5">
                  <c:v>322</c:v>
                </c:pt>
                <c:pt idx="6">
                  <c:v>923</c:v>
                </c:pt>
                <c:pt idx="7">
                  <c:v>381</c:v>
                </c:pt>
                <c:pt idx="8">
                  <c:v>1432</c:v>
                </c:pt>
                <c:pt idx="9">
                  <c:v>836</c:v>
                </c:pt>
                <c:pt idx="10">
                  <c:v>490</c:v>
                </c:pt>
              </c:numCache>
            </c:numRef>
          </c:val>
        </c:ser>
        <c:ser>
          <c:idx val="2"/>
          <c:order val="2"/>
          <c:tx>
            <c:strRef>
              <c:f>label 2</c:f>
              <c:strCache>
                <c:ptCount val="1"/>
                <c:pt idx="0">
                  <c:v>C</c:v>
                </c:pt>
              </c:strCache>
            </c:strRef>
          </c:tx>
          <c:spPr>
            <a:solidFill>
              <a:srgbClr val="9bbb59"/>
            </a:solidFill>
            <a:ln w="0">
              <a:noFill/>
            </a:ln>
          </c:spPr>
          <c:invertIfNegative val="0"/>
          <c:dLbls>
            <c:txPr>
              <a:bodyPr wrap="none"/>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NSGD</c:v>
                </c:pt>
                <c:pt idx="1">
                  <c:v>BSL</c:v>
                </c:pt>
                <c:pt idx="2">
                  <c:v>SMN</c:v>
                </c:pt>
                <c:pt idx="3">
                  <c:v>IOT</c:v>
                </c:pt>
                <c:pt idx="4">
                  <c:v>OSMA</c:v>
                </c:pt>
                <c:pt idx="5">
                  <c:v>SERR</c:v>
                </c:pt>
                <c:pt idx="6">
                  <c:v>PISTOIA</c:v>
                </c:pt>
                <c:pt idx="7">
                  <c:v>PESCIA</c:v>
                </c:pt>
                <c:pt idx="8">
                  <c:v>PRATO</c:v>
                </c:pt>
                <c:pt idx="9">
                  <c:v>EMPOLI</c:v>
                </c:pt>
                <c:pt idx="10">
                  <c:v>FUCECCHIO</c:v>
                </c:pt>
              </c:strCache>
            </c:strRef>
          </c:cat>
          <c:val>
            <c:numRef>
              <c:f>2</c:f>
              <c:numCache>
                <c:formatCode>General</c:formatCode>
                <c:ptCount val="11"/>
                <c:pt idx="0">
                  <c:v>962</c:v>
                </c:pt>
                <c:pt idx="1">
                  <c:v>546</c:v>
                </c:pt>
                <c:pt idx="2">
                  <c:v>730</c:v>
                </c:pt>
                <c:pt idx="3">
                  <c:v>255</c:v>
                </c:pt>
                <c:pt idx="4">
                  <c:v>529</c:v>
                </c:pt>
                <c:pt idx="5">
                  <c:v>503</c:v>
                </c:pt>
                <c:pt idx="6">
                  <c:v>1302</c:v>
                </c:pt>
                <c:pt idx="7">
                  <c:v>352</c:v>
                </c:pt>
                <c:pt idx="8">
                  <c:v>1703</c:v>
                </c:pt>
                <c:pt idx="9">
                  <c:v>517</c:v>
                </c:pt>
                <c:pt idx="10">
                  <c:v>66</c:v>
                </c:pt>
              </c:numCache>
            </c:numRef>
          </c:val>
        </c:ser>
        <c:ser>
          <c:idx val="3"/>
          <c:order val="3"/>
          <c:tx>
            <c:strRef>
              <c:f>label 3</c:f>
              <c:strCache>
                <c:ptCount val="1"/>
                <c:pt idx="0">
                  <c:v>D</c:v>
                </c:pt>
              </c:strCache>
            </c:strRef>
          </c:tx>
          <c:spPr>
            <a:solidFill>
              <a:srgbClr val="8064a2"/>
            </a:solidFill>
            <a:ln w="0">
              <a:noFill/>
            </a:ln>
          </c:spPr>
          <c:invertIfNegative val="0"/>
          <c:dLbls>
            <c:txPr>
              <a:bodyPr wrap="none"/>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NSGD</c:v>
                </c:pt>
                <c:pt idx="1">
                  <c:v>BSL</c:v>
                </c:pt>
                <c:pt idx="2">
                  <c:v>SMN</c:v>
                </c:pt>
                <c:pt idx="3">
                  <c:v>IOT</c:v>
                </c:pt>
                <c:pt idx="4">
                  <c:v>OSMA</c:v>
                </c:pt>
                <c:pt idx="5">
                  <c:v>SERR</c:v>
                </c:pt>
                <c:pt idx="6">
                  <c:v>PISTOIA</c:v>
                </c:pt>
                <c:pt idx="7">
                  <c:v>PESCIA</c:v>
                </c:pt>
                <c:pt idx="8">
                  <c:v>PRATO</c:v>
                </c:pt>
                <c:pt idx="9">
                  <c:v>EMPOLI</c:v>
                </c:pt>
                <c:pt idx="10">
                  <c:v>FUCECCHIO</c:v>
                </c:pt>
              </c:strCache>
            </c:strRef>
          </c:cat>
          <c:val>
            <c:numRef>
              <c:f>3</c:f>
              <c:numCache>
                <c:formatCode>General</c:formatCode>
                <c:ptCount val="11"/>
                <c:pt idx="0">
                  <c:v>537</c:v>
                </c:pt>
                <c:pt idx="1">
                  <c:v>244</c:v>
                </c:pt>
                <c:pt idx="2">
                  <c:v>492</c:v>
                </c:pt>
                <c:pt idx="3">
                  <c:v>51</c:v>
                </c:pt>
                <c:pt idx="4">
                  <c:v>259</c:v>
                </c:pt>
                <c:pt idx="5">
                  <c:v>70</c:v>
                </c:pt>
                <c:pt idx="6">
                  <c:v>467</c:v>
                </c:pt>
                <c:pt idx="7">
                  <c:v>31</c:v>
                </c:pt>
                <c:pt idx="8">
                  <c:v>1030</c:v>
                </c:pt>
                <c:pt idx="9">
                  <c:v>202</c:v>
                </c:pt>
                <c:pt idx="10">
                  <c:v>54</c:v>
                </c:pt>
              </c:numCache>
            </c:numRef>
          </c:val>
        </c:ser>
        <c:gapWidth val="150"/>
        <c:overlap val="100"/>
        <c:axId val="42037050"/>
        <c:axId val="49226344"/>
      </c:barChart>
      <c:lineChart>
        <c:grouping val="stacked"/>
        <c:varyColors val="0"/>
        <c:ser>
          <c:idx val="4"/>
          <c:order val="4"/>
          <c:tx>
            <c:strRef>
              <c:f>label 4</c:f>
              <c:strCache>
                <c:ptCount val="1"/>
                <c:pt idx="0">
                  <c:v>TOT</c:v>
                </c:pt>
              </c:strCache>
            </c:strRef>
          </c:tx>
          <c:spPr>
            <a:solidFill>
              <a:srgbClr val="99ccff"/>
            </a:solidFill>
            <a:ln w="25560">
              <a:noFill/>
            </a:ln>
          </c:spPr>
          <c:marker>
            <c:symbol val="none"/>
          </c:marker>
          <c:dLbls>
            <c:numFmt formatCode="General" sourceLinked="0"/>
            <c:txPr>
              <a:bodyPr wrap="square"/>
              <a:lstStyle/>
              <a:p>
                <a:pPr>
                  <a:defRPr b="1" sz="1600" spc="-1" strike="noStrike">
                    <a:solidFill>
                      <a:srgbClr val="404040"/>
                    </a:solidFill>
                    <a:latin typeface="Calibri"/>
                  </a:defRPr>
                </a:pPr>
              </a:p>
            </c:txPr>
            <c:dLblPos val="t"/>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NSGD</c:v>
                </c:pt>
                <c:pt idx="1">
                  <c:v>BSL</c:v>
                </c:pt>
                <c:pt idx="2">
                  <c:v>SMN</c:v>
                </c:pt>
                <c:pt idx="3">
                  <c:v>IOT</c:v>
                </c:pt>
                <c:pt idx="4">
                  <c:v>OSMA</c:v>
                </c:pt>
                <c:pt idx="5">
                  <c:v>SERR</c:v>
                </c:pt>
                <c:pt idx="6">
                  <c:v>PISTOIA</c:v>
                </c:pt>
                <c:pt idx="7">
                  <c:v>PESCIA</c:v>
                </c:pt>
                <c:pt idx="8">
                  <c:v>PRATO</c:v>
                </c:pt>
                <c:pt idx="9">
                  <c:v>EMPOLI</c:v>
                </c:pt>
                <c:pt idx="10">
                  <c:v>FUCECCHIO</c:v>
                </c:pt>
              </c:strCache>
            </c:strRef>
          </c:cat>
          <c:val>
            <c:numRef>
              <c:f>4</c:f>
              <c:numCache>
                <c:formatCode>General</c:formatCode>
                <c:ptCount val="11"/>
                <c:pt idx="0">
                  <c:v>2276</c:v>
                </c:pt>
                <c:pt idx="1">
                  <c:v>1028</c:v>
                </c:pt>
                <c:pt idx="2">
                  <c:v>2210</c:v>
                </c:pt>
                <c:pt idx="3">
                  <c:v>1057</c:v>
                </c:pt>
                <c:pt idx="4">
                  <c:v>1504</c:v>
                </c:pt>
                <c:pt idx="5">
                  <c:v>901</c:v>
                </c:pt>
                <c:pt idx="6">
                  <c:v>2922</c:v>
                </c:pt>
                <c:pt idx="7">
                  <c:v>811</c:v>
                </c:pt>
                <c:pt idx="8">
                  <c:v>4499</c:v>
                </c:pt>
                <c:pt idx="9">
                  <c:v>1812</c:v>
                </c:pt>
                <c:pt idx="10">
                  <c:v>675</c:v>
                </c:pt>
              </c:numCache>
            </c:numRef>
          </c:val>
          <c:smooth val="0"/>
        </c:ser>
        <c:hiLowLines>
          <c:spPr>
            <a:ln w="0">
              <a:noFill/>
            </a:ln>
          </c:spPr>
        </c:hiLowLines>
        <c:marker val="0"/>
        <c:axId val="42037050"/>
        <c:axId val="49226344"/>
      </c:lineChart>
      <c:catAx>
        <c:axId val="4203705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1" sz="1100" spc="-1" strike="noStrike">
                <a:solidFill>
                  <a:srgbClr val="000000"/>
                </a:solidFill>
                <a:latin typeface="Calibri"/>
              </a:defRPr>
            </a:pPr>
          </a:p>
        </c:txPr>
        <c:crossAx val="49226344"/>
        <c:crosses val="autoZero"/>
        <c:auto val="1"/>
        <c:lblAlgn val="ctr"/>
        <c:lblOffset val="100"/>
        <c:noMultiLvlLbl val="0"/>
      </c:catAx>
      <c:valAx>
        <c:axId val="49226344"/>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1" sz="1000" spc="-1" strike="noStrike">
                <a:solidFill>
                  <a:srgbClr val="000000"/>
                </a:solidFill>
                <a:latin typeface="Calibri"/>
              </a:defRPr>
            </a:pPr>
          </a:p>
        </c:txPr>
        <c:crossAx val="42037050"/>
        <c:crosses val="autoZero"/>
        <c:crossBetween val="between"/>
      </c:valAx>
      <c:spPr>
        <a:noFill/>
        <a:ln w="0">
          <a:noFill/>
        </a:ln>
      </c:spPr>
    </c:plotArea>
    <c:legend>
      <c:legendPos val="r"/>
      <c:legendEntry>
        <c:idx val="4"/>
        <c:delete val="1"/>
      </c:legendEntry>
      <c:layout>
        <c:manualLayout>
          <c:xMode val="edge"/>
          <c:yMode val="edge"/>
          <c:x val="0.9280625"/>
          <c:y val="0.283666666666667"/>
          <c:w val="0.01443840240015"/>
          <c:h val="0.0256695188354262"/>
        </c:manualLayout>
      </c:layout>
      <c:overlay val="0"/>
      <c:spPr>
        <a:noFill/>
        <a:ln w="0">
          <a:noFill/>
        </a:ln>
      </c:spPr>
      <c:txPr>
        <a:bodyPr/>
        <a:lstStyle/>
        <a:p>
          <a:pPr>
            <a:defRPr b="1" sz="11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stacked"/>
        <c:varyColors val="0"/>
        <c:ser>
          <c:idx val="0"/>
          <c:order val="0"/>
          <c:tx>
            <c:strRef>
              <c:f>label 0</c:f>
              <c:strCache>
                <c:ptCount val="1"/>
                <c:pt idx="0">
                  <c:v>Produzione nello S.O.</c:v>
                </c:pt>
              </c:strCache>
            </c:strRef>
          </c:tx>
          <c:spPr>
            <a:solidFill>
              <a:srgbClr val="4f81bd"/>
            </a:solidFill>
            <a:ln w="0">
              <a:noFill/>
            </a:ln>
          </c:spPr>
          <c:invertIfNegative val="0"/>
          <c:dLbls>
            <c:numFmt formatCode="#,##0" sourceLinked="0"/>
            <c:txPr>
              <a:bodyPr wrap="square"/>
              <a:lstStyle/>
              <a:p>
                <a:pPr>
                  <a:defRPr b="1" sz="14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2019</c:v>
                </c:pt>
                <c:pt idx="1">
                  <c:v>2021</c:v>
                </c:pt>
                <c:pt idx="2">
                  <c:v>2022</c:v>
                </c:pt>
              </c:strCache>
            </c:strRef>
          </c:cat>
          <c:val>
            <c:numRef>
              <c:f>0</c:f>
              <c:numCache>
                <c:formatCode>General</c:formatCode>
                <c:ptCount val="3"/>
                <c:pt idx="0">
                  <c:v>26537</c:v>
                </c:pt>
                <c:pt idx="1">
                  <c:v>15890</c:v>
                </c:pt>
                <c:pt idx="2">
                  <c:v>21713</c:v>
                </c:pt>
              </c:numCache>
            </c:numRef>
          </c:val>
        </c:ser>
        <c:ser>
          <c:idx val="1"/>
          <c:order val="1"/>
          <c:tx>
            <c:strRef>
              <c:f>label 1</c:f>
              <c:strCache>
                <c:ptCount val="1"/>
                <c:pt idx="0">
                  <c:v>Produzione in Service</c:v>
                </c:pt>
              </c:strCache>
            </c:strRef>
          </c:tx>
          <c:spPr>
            <a:solidFill>
              <a:srgbClr val="c0504d"/>
            </a:solidFill>
            <a:ln w="0">
              <a:noFill/>
            </a:ln>
          </c:spPr>
          <c:invertIfNegative val="0"/>
          <c:dLbls>
            <c:numFmt formatCode="#,##0" sourceLinked="0"/>
            <c:txPr>
              <a:bodyPr wrap="square"/>
              <a:lstStyle/>
              <a:p>
                <a:pPr>
                  <a:defRPr b="1" sz="14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2019</c:v>
                </c:pt>
                <c:pt idx="1">
                  <c:v>2021</c:v>
                </c:pt>
                <c:pt idx="2">
                  <c:v>2022</c:v>
                </c:pt>
              </c:strCache>
            </c:strRef>
          </c:cat>
          <c:val>
            <c:numRef>
              <c:f>1</c:f>
              <c:numCache>
                <c:formatCode>General</c:formatCode>
                <c:ptCount val="3"/>
                <c:pt idx="0">
                  <c:v>2663</c:v>
                </c:pt>
                <c:pt idx="1">
                  <c:v>6231</c:v>
                </c:pt>
                <c:pt idx="2">
                  <c:v>3820</c:v>
                </c:pt>
              </c:numCache>
            </c:numRef>
          </c:val>
        </c:ser>
        <c:gapWidth val="150"/>
        <c:overlap val="100"/>
        <c:axId val="18730621"/>
        <c:axId val="51391912"/>
      </c:barChart>
      <c:lineChart>
        <c:grouping val="stacked"/>
        <c:varyColors val="0"/>
        <c:ser>
          <c:idx val="2"/>
          <c:order val="2"/>
          <c:tx>
            <c:strRef>
              <c:f>label 2</c:f>
              <c:strCache>
                <c:ptCount val="1"/>
                <c:pt idx="0">
                  <c:v>Tot. OSP+ Serv</c:v>
                </c:pt>
              </c:strCache>
            </c:strRef>
          </c:tx>
          <c:spPr>
            <a:solidFill>
              <a:srgbClr val="99ccff"/>
            </a:solidFill>
            <a:ln w="28440">
              <a:noFill/>
            </a:ln>
          </c:spPr>
          <c:marker>
            <c:symbol val="none"/>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2019</c:v>
                </c:pt>
                <c:pt idx="1">
                  <c:v>2021</c:v>
                </c:pt>
                <c:pt idx="2">
                  <c:v>2022</c:v>
                </c:pt>
              </c:strCache>
            </c:strRef>
          </c:cat>
          <c:val>
            <c:numRef>
              <c:f>2</c:f>
              <c:numCache>
                <c:formatCode>General</c:formatCode>
                <c:ptCount val="3"/>
                <c:pt idx="0">
                  <c:v>29200</c:v>
                </c:pt>
                <c:pt idx="1">
                  <c:v>22121</c:v>
                </c:pt>
                <c:pt idx="2">
                  <c:v>25533</c:v>
                </c:pt>
              </c:numCache>
            </c:numRef>
          </c:val>
          <c:smooth val="0"/>
        </c:ser>
        <c:hiLowLines>
          <c:spPr>
            <a:ln w="0">
              <a:noFill/>
            </a:ln>
          </c:spPr>
        </c:hiLowLines>
        <c:marker val="0"/>
        <c:axId val="18730621"/>
        <c:axId val="51391912"/>
      </c:lineChart>
      <c:catAx>
        <c:axId val="1873062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1" sz="1800" spc="-1" strike="noStrike">
                <a:solidFill>
                  <a:srgbClr val="000000"/>
                </a:solidFill>
                <a:latin typeface="Calibri"/>
              </a:defRPr>
            </a:pPr>
          </a:p>
        </c:txPr>
        <c:crossAx val="51391912"/>
        <c:crosses val="autoZero"/>
        <c:auto val="1"/>
        <c:lblAlgn val="ctr"/>
        <c:lblOffset val="100"/>
        <c:noMultiLvlLbl val="0"/>
      </c:catAx>
      <c:valAx>
        <c:axId val="51391912"/>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9360">
            <a:noFill/>
          </a:ln>
        </c:spPr>
        <c:txPr>
          <a:bodyPr/>
          <a:lstStyle/>
          <a:p>
            <a:pPr>
              <a:defRPr b="1" sz="900" spc="-1" strike="noStrike">
                <a:solidFill>
                  <a:srgbClr val="000000"/>
                </a:solidFill>
                <a:latin typeface="Calibri"/>
              </a:defRPr>
            </a:pPr>
          </a:p>
        </c:txPr>
        <c:crossAx val="18730621"/>
        <c:crosses val="autoZero"/>
        <c:crossBetween val="between"/>
      </c:valAx>
      <c:spPr>
        <a:solidFill>
          <a:srgbClr val="ffffff"/>
        </a:solidFill>
        <a:ln w="0">
          <a:noFill/>
        </a:ln>
      </c:spPr>
    </c:plotArea>
    <c:legend>
      <c:legendPos val="r"/>
      <c:legendEntry>
        <c:idx val="2"/>
        <c:delete val="1"/>
      </c:legendEntry>
      <c:overlay val="0"/>
      <c:spPr>
        <a:noFill/>
        <a:ln w="0">
          <a:noFill/>
        </a:ln>
      </c:spPr>
      <c:txPr>
        <a:bodyPr/>
        <a:lstStyle/>
        <a:p>
          <a:pPr>
            <a:defRPr b="1" sz="1050" spc="-1" strike="noStrike">
              <a:solidFill>
                <a:srgbClr val="000000"/>
              </a:solidFill>
              <a:latin typeface="Calibri"/>
            </a:defRPr>
          </a:pPr>
        </a:p>
      </c:txPr>
    </c:legend>
    <c:plotVisOnly val="1"/>
    <c:dispBlanksAs val="gap"/>
  </c:chart>
  <c:spPr>
    <a:solidFill>
      <a:srgbClr val="ffffff"/>
    </a:solidFill>
    <a:ln w="9360">
      <a:solidFill>
        <a:srgbClr val="eeece1"/>
      </a:solidFill>
      <a:round/>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clustered"/>
        <c:varyColors val="0"/>
        <c:ser>
          <c:idx val="0"/>
          <c:order val="0"/>
          <c:tx>
            <c:strRef>
              <c:f>label 0</c:f>
              <c:strCache>
                <c:ptCount val="1"/>
                <c:pt idx="0">
                  <c:v>Serie1</c:v>
                </c:pt>
              </c:strCache>
            </c:strRef>
          </c:tx>
          <c:spPr>
            <a:solidFill>
              <a:srgbClr val="4f81bd"/>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Zona/SdS Valdinievole</c:v>
                </c:pt>
                <c:pt idx="1">
                  <c:v>Zona/SdS Pistoiese</c:v>
                </c:pt>
                <c:pt idx="2">
                  <c:v>Zona/SdS F.na NordOvest</c:v>
                </c:pt>
                <c:pt idx="3">
                  <c:v>Zona/SdS Pratese</c:v>
                </c:pt>
                <c:pt idx="4">
                  <c:v>Zona/SdS Empolese Valdarno Valdelsa</c:v>
                </c:pt>
                <c:pt idx="5">
                  <c:v>Zona/SdS F.na SudEst</c:v>
                </c:pt>
                <c:pt idx="6">
                  <c:v>Zona/SdS Mugello</c:v>
                </c:pt>
                <c:pt idx="7">
                  <c:v>Fuori Zona</c:v>
                </c:pt>
                <c:pt idx="8">
                  <c:v>Minore Straniero Non Accompagnato</c:v>
                </c:pt>
                <c:pt idx="9">
                  <c:v>Senza Fissa Dimora</c:v>
                </c:pt>
              </c:strCache>
            </c:strRef>
          </c:cat>
          <c:val>
            <c:numRef>
              <c:f>0</c:f>
              <c:numCache>
                <c:formatCode>General</c:formatCode>
                <c:ptCount val="10"/>
                <c:pt idx="0">
                  <c:v>75</c:v>
                </c:pt>
                <c:pt idx="1">
                  <c:v>84</c:v>
                </c:pt>
                <c:pt idx="2">
                  <c:v>83</c:v>
                </c:pt>
                <c:pt idx="3">
                  <c:v>119</c:v>
                </c:pt>
                <c:pt idx="4">
                  <c:v>195</c:v>
                </c:pt>
                <c:pt idx="5">
                  <c:v>66</c:v>
                </c:pt>
                <c:pt idx="6">
                  <c:v>33</c:v>
                </c:pt>
                <c:pt idx="7">
                  <c:v>116</c:v>
                </c:pt>
                <c:pt idx="8">
                  <c:v>49</c:v>
                </c:pt>
                <c:pt idx="9">
                  <c:v>165</c:v>
                </c:pt>
              </c:numCache>
            </c:numRef>
          </c:val>
        </c:ser>
        <c:gapWidth val="182"/>
        <c:overlap val="0"/>
        <c:axId val="33744740"/>
        <c:axId val="73658500"/>
      </c:barChart>
      <c:catAx>
        <c:axId val="3374474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73658500"/>
        <c:crosses val="autoZero"/>
        <c:auto val="1"/>
        <c:lblAlgn val="ctr"/>
        <c:lblOffset val="100"/>
        <c:noMultiLvlLbl val="0"/>
      </c:catAx>
      <c:valAx>
        <c:axId val="73658500"/>
        <c:scaling>
          <c:orientation val="minMax"/>
        </c:scaling>
        <c:delete val="0"/>
        <c:axPos val="l"/>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33744740"/>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Nr. persone segnalate</c:v>
                </c:pt>
              </c:strCache>
            </c:strRef>
          </c:tx>
          <c:spPr>
            <a:solidFill>
              <a:srgbClr val="4f81bd"/>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OSPEDALE</c:v>
                </c:pt>
                <c:pt idx="1">
                  <c:v>FF.OO.</c:v>
                </c:pt>
                <c:pt idx="2">
                  <c:v>SERVIZI SOCIALI</c:v>
                </c:pt>
                <c:pt idx="3">
                  <c:v>118</c:v>
                </c:pt>
                <c:pt idx="4">
                  <c:v>COMUNE</c:v>
                </c:pt>
                <c:pt idx="5">
                  <c:v>CSM-SERD</c:v>
                </c:pt>
                <c:pt idx="6">
                  <c:v>STRUTTURA</c:v>
                </c:pt>
                <c:pt idx="7">
                  <c:v>CAV</c:v>
                </c:pt>
                <c:pt idx="8">
                  <c:v>MMG</c:v>
                </c:pt>
                <c:pt idx="9">
                  <c:v>ALTRO</c:v>
                </c:pt>
              </c:strCache>
            </c:strRef>
          </c:cat>
          <c:val>
            <c:numRef>
              <c:f>0</c:f>
              <c:numCache>
                <c:formatCode>General</c:formatCode>
                <c:ptCount val="10"/>
                <c:pt idx="0">
                  <c:v>372</c:v>
                </c:pt>
                <c:pt idx="1">
                  <c:v>301</c:v>
                </c:pt>
                <c:pt idx="2">
                  <c:v>172</c:v>
                </c:pt>
                <c:pt idx="3">
                  <c:v>61</c:v>
                </c:pt>
                <c:pt idx="4">
                  <c:v>25</c:v>
                </c:pt>
                <c:pt idx="5">
                  <c:v>22</c:v>
                </c:pt>
                <c:pt idx="6">
                  <c:v>9</c:v>
                </c:pt>
                <c:pt idx="7">
                  <c:v>8</c:v>
                </c:pt>
                <c:pt idx="8">
                  <c:v>4</c:v>
                </c:pt>
                <c:pt idx="9">
                  <c:v>11</c:v>
                </c:pt>
              </c:numCache>
            </c:numRef>
          </c:val>
        </c:ser>
        <c:gapWidth val="219"/>
        <c:overlap val="-27"/>
        <c:axId val="71971019"/>
        <c:axId val="26389237"/>
      </c:barChart>
      <c:catAx>
        <c:axId val="71971019"/>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26389237"/>
        <c:crosses val="autoZero"/>
        <c:auto val="1"/>
        <c:lblAlgn val="ctr"/>
        <c:lblOffset val="100"/>
        <c:noMultiLvlLbl val="0"/>
      </c:catAx>
      <c:valAx>
        <c:axId val="26389237"/>
        <c:scaling>
          <c:orientation val="minMax"/>
        </c:scaling>
        <c:delete val="0"/>
        <c:axPos val="l"/>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71971019"/>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clustered"/>
        <c:varyColors val="0"/>
        <c:ser>
          <c:idx val="0"/>
          <c:order val="0"/>
          <c:tx>
            <c:strRef>
              <c:f>label 0</c:f>
              <c:strCache>
                <c:ptCount val="1"/>
                <c:pt idx="0">
                  <c:v>Serie1</c:v>
                </c:pt>
              </c:strCache>
            </c:strRef>
          </c:tx>
          <c:spPr>
            <a:solidFill>
              <a:srgbClr val="4f81bd"/>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Minori </c:v>
                </c:pt>
                <c:pt idx="1">
                  <c:v>Adulti e anziani</c:v>
                </c:pt>
                <c:pt idx="2">
                  <c:v>Non autosufficienza / Disabilità </c:v>
                </c:pt>
                <c:pt idx="3">
                  <c:v>Conflittualità, violenza e maltrattamento</c:v>
                </c:pt>
                <c:pt idx="4">
                  <c:v>Trascuratezza e fragilità sociale</c:v>
                </c:pt>
                <c:pt idx="5">
                  <c:v>Marginalità e povertà</c:v>
                </c:pt>
              </c:strCache>
            </c:strRef>
          </c:cat>
          <c:val>
            <c:numRef>
              <c:f>0</c:f>
              <c:numCache>
                <c:formatCode>General</c:formatCode>
                <c:ptCount val="6"/>
                <c:pt idx="0">
                  <c:v>305</c:v>
                </c:pt>
                <c:pt idx="1">
                  <c:v>575</c:v>
                </c:pt>
                <c:pt idx="2">
                  <c:v>141</c:v>
                </c:pt>
                <c:pt idx="3">
                  <c:v>392</c:v>
                </c:pt>
                <c:pt idx="4">
                  <c:v>331</c:v>
                </c:pt>
                <c:pt idx="5">
                  <c:v>347</c:v>
                </c:pt>
              </c:numCache>
            </c:numRef>
          </c:val>
        </c:ser>
        <c:gapWidth val="182"/>
        <c:overlap val="0"/>
        <c:axId val="67579070"/>
        <c:axId val="62162773"/>
      </c:barChart>
      <c:catAx>
        <c:axId val="6757907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62162773"/>
        <c:crosses val="autoZero"/>
        <c:auto val="1"/>
        <c:lblAlgn val="ctr"/>
        <c:lblOffset val="100"/>
        <c:noMultiLvlLbl val="0"/>
      </c:catAx>
      <c:valAx>
        <c:axId val="62162773"/>
        <c:scaling>
          <c:orientation val="minMax"/>
        </c:scaling>
        <c:delete val="0"/>
        <c:axPos val="l"/>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67579070"/>
        <c:crosses val="autoZero"/>
        <c:crossBetween val="between"/>
      </c:valAx>
      <c:spPr>
        <a:noFill/>
        <a:ln w="0">
          <a:noFill/>
        </a:ln>
      </c:spPr>
    </c:plotArea>
    <c:plotVisOnly val="1"/>
    <c:dispBlanksAs val="gap"/>
  </c:chart>
  <c:spPr>
    <a:solidFill>
      <a:srgbClr val="ffffff"/>
    </a:solidFill>
    <a:ln w="9360">
      <a:solidFill>
        <a:srgbClr val="d9d9d9"/>
      </a:solidFill>
      <a:round/>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Serie1</c:v>
                </c:pt>
              </c:strCache>
            </c:strRef>
          </c:tx>
          <c:spPr>
            <a:solidFill>
              <a:srgbClr val="4f81bd"/>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100</c:v>
                </c:pt>
                <c:pt idx="1">
                  <c:v>98-99</c:v>
                </c:pt>
                <c:pt idx="2">
                  <c:v>96-97</c:v>
                </c:pt>
                <c:pt idx="3">
                  <c:v>94-95</c:v>
                </c:pt>
                <c:pt idx="4">
                  <c:v>92-93</c:v>
                </c:pt>
                <c:pt idx="5">
                  <c:v>90-91</c:v>
                </c:pt>
              </c:strCache>
            </c:strRef>
          </c:cat>
          <c:val>
            <c:numRef>
              <c:f>0</c:f>
              <c:numCache>
                <c:formatCode>General</c:formatCode>
                <c:ptCount val="6"/>
                <c:pt idx="0">
                  <c:v>357</c:v>
                </c:pt>
                <c:pt idx="1">
                  <c:v>75</c:v>
                </c:pt>
                <c:pt idx="2">
                  <c:v>94</c:v>
                </c:pt>
                <c:pt idx="3">
                  <c:v>23</c:v>
                </c:pt>
                <c:pt idx="4">
                  <c:v>17</c:v>
                </c:pt>
                <c:pt idx="5">
                  <c:v>9</c:v>
                </c:pt>
              </c:numCache>
            </c:numRef>
          </c:val>
        </c:ser>
        <c:gapWidth val="219"/>
        <c:overlap val="-27"/>
        <c:axId val="59505767"/>
        <c:axId val="84352073"/>
      </c:barChart>
      <c:catAx>
        <c:axId val="5950576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84352073"/>
        <c:crosses val="autoZero"/>
        <c:auto val="1"/>
        <c:lblAlgn val="ctr"/>
        <c:lblOffset val="100"/>
        <c:noMultiLvlLbl val="0"/>
      </c:catAx>
      <c:valAx>
        <c:axId val="84352073"/>
        <c:scaling>
          <c:orientation val="minMax"/>
        </c:scaling>
        <c:delete val="0"/>
        <c:axPos val="l"/>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59505767"/>
        <c:crosses val="autoZero"/>
        <c:crossBetween val="between"/>
      </c:valAx>
      <c:spPr>
        <a:noFill/>
        <a:ln w="0">
          <a:noFill/>
        </a:ln>
      </c:spPr>
    </c:plotArea>
    <c:plotVisOnly val="1"/>
    <c:dispBlanksAs val="gap"/>
  </c:chart>
  <c:spPr>
    <a:solidFill>
      <a:srgbClr val="ffffff"/>
    </a:solidFill>
    <a:ln w="9360">
      <a:noFill/>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C595C-C2B4-4B2F-8290-E3EAEC398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DEF Relazione Performance 2022_versione Novembre2023 _completa</Template>
  <TotalTime>3</TotalTime>
  <Application>LibreOffice/7.1.4.2$Windows_X86_64 LibreOffice_project/a529a4fab45b75fefc5b6226684193eb000654f6</Application>
  <AppVersion>15.0000</AppVersion>
  <Pages>89</Pages>
  <Words>17574</Words>
  <Characters>102490</Characters>
  <CharactersWithSpaces>117672</CharactersWithSpaces>
  <Paragraphs>3037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2023-11-30T08:17:00Z</dcterms:created>
  <dc:creator>ospite</dc:creator>
  <dc:description/>
  <dc:language>it-IT</dc:language>
  <cp:lastModifiedBy>User</cp:lastModifiedBy>
  <cp:lastPrinted>2023-11-28T14:50:00Z</cp:lastPrinted>
  <dcterms:modified xsi:type="dcterms:W3CDTF">2023-11-30T08:20:00Z</dcterms:modified>
  <cp:revision>4</cp:revision>
  <dc:subject/>
  <dc:title>La risposta dell’azienda alla pandemia</dc:title>
</cp:coreProperties>
</file>

<file path=docProps/custom.xml><?xml version="1.0" encoding="utf-8"?>
<Properties xmlns="http://schemas.openxmlformats.org/officeDocument/2006/custom-properties" xmlns:vt="http://schemas.openxmlformats.org/officeDocument/2006/docPropsVTypes"/>
</file>