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52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1" w:type="dxa"/>
          <w:bottom w:w="0" w:type="dxa"/>
          <w:right w:w="0" w:type="dxa"/>
        </w:tblCellMar>
        <w:tblLook w:val="0000"/>
      </w:tblPr>
      <w:tblGrid>
        <w:gridCol w:w="1999"/>
        <w:gridCol w:w="7852"/>
      </w:tblGrid>
      <w:tr>
        <w:trPr>
          <w:trHeight w:val="428" w:hRule="atLeast"/>
        </w:trPr>
        <w:tc>
          <w:tcPr>
            <w:tcW w:w="1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Titolo1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Azienda</w:t>
            </w:r>
          </w:p>
        </w:tc>
        <w:tc>
          <w:tcPr>
            <w:tcW w:w="7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Titolo1"/>
              <w:numPr>
                <w:ilvl w:val="0"/>
                <w:numId w:val="0"/>
              </w:numPr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OIV AUSL TOSCANA CENTRO</w:t>
            </w:r>
          </w:p>
        </w:tc>
      </w:tr>
    </w:tbl>
    <w:p>
      <w:pPr>
        <w:pStyle w:val="Normal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tbl>
      <w:tblPr>
        <w:tblW w:w="9781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1" w:type="dxa"/>
          <w:bottom w:w="0" w:type="dxa"/>
          <w:right w:w="0" w:type="dxa"/>
        </w:tblCellMar>
        <w:tblLook w:val="0000"/>
      </w:tblPr>
      <w:tblGrid>
        <w:gridCol w:w="1489"/>
        <w:gridCol w:w="1722"/>
        <w:gridCol w:w="3213"/>
        <w:gridCol w:w="3357"/>
      </w:tblGrid>
      <w:tr>
        <w:trPr>
          <w:trHeight w:val="492" w:hRule="atLeast"/>
        </w:trPr>
        <w:tc>
          <w:tcPr>
            <w:tcW w:w="32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Titolo1"/>
              <w:numPr>
                <w:ilvl w:val="0"/>
                <w:numId w:val="2"/>
              </w:numPr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Data</w:t>
            </w:r>
          </w:p>
          <w:p>
            <w:pPr>
              <w:pStyle w:val="Normal"/>
              <w:jc w:val="center"/>
              <w:rPr/>
            </w:pPr>
            <w:r>
              <w:rPr>
                <w:rFonts w:cs="Arial"/>
                <w:sz w:val="22"/>
                <w:szCs w:val="22"/>
              </w:rPr>
              <w:t>16</w:t>
            </w:r>
            <w:r>
              <w:rPr>
                <w:rFonts w:cs="Arial"/>
                <w:sz w:val="22"/>
                <w:szCs w:val="22"/>
              </w:rPr>
              <w:t>/</w:t>
            </w:r>
            <w:r>
              <w:rPr>
                <w:rFonts w:cs="Arial"/>
                <w:sz w:val="22"/>
                <w:szCs w:val="22"/>
              </w:rPr>
              <w:t>12</w:t>
            </w:r>
            <w:r>
              <w:rPr>
                <w:rFonts w:cs="Arial"/>
                <w:sz w:val="22"/>
                <w:szCs w:val="22"/>
              </w:rPr>
              <w:t>/202</w:t>
            </w: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Titolo1"/>
              <w:numPr>
                <w:ilvl w:val="0"/>
                <w:numId w:val="2"/>
              </w:numPr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Ora inizio</w:t>
            </w:r>
          </w:p>
          <w:p>
            <w:pPr>
              <w:pStyle w:val="Normal"/>
              <w:jc w:val="center"/>
              <w:rPr/>
            </w:pPr>
            <w:r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6</w:t>
            </w:r>
            <w:r>
              <w:rPr>
                <w:rFonts w:cs="Arial"/>
                <w:sz w:val="22"/>
                <w:szCs w:val="22"/>
              </w:rPr>
              <w:t>.30</w:t>
            </w:r>
          </w:p>
        </w:tc>
        <w:tc>
          <w:tcPr>
            <w:tcW w:w="3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Titolo1"/>
              <w:numPr>
                <w:ilvl w:val="0"/>
                <w:numId w:val="2"/>
              </w:numPr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Ora conclusione</w:t>
            </w:r>
          </w:p>
          <w:p>
            <w:pPr>
              <w:pStyle w:val="Normal"/>
              <w:jc w:val="center"/>
              <w:rPr/>
            </w:pPr>
            <w:r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7</w:t>
            </w:r>
            <w:r>
              <w:rPr>
                <w:rFonts w:cs="Arial"/>
                <w:sz w:val="22"/>
                <w:szCs w:val="22"/>
              </w:rPr>
              <w:t>.30</w:t>
            </w:r>
          </w:p>
        </w:tc>
      </w:tr>
      <w:tr>
        <w:trPr>
          <w:trHeight w:val="400" w:hRule="atLeast"/>
        </w:trPr>
        <w:tc>
          <w:tcPr>
            <w:tcW w:w="148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Titolo1"/>
              <w:numPr>
                <w:ilvl w:val="0"/>
                <w:numId w:val="2"/>
              </w:numPr>
              <w:spacing w:before="120" w:after="0"/>
              <w:ind w:left="142" w:hanging="0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Modalità</w:t>
            </w:r>
          </w:p>
        </w:tc>
        <w:tc>
          <w:tcPr>
            <w:tcW w:w="829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20" w:after="0"/>
              <w:jc w:val="both"/>
              <w:rPr/>
            </w:pPr>
            <w:r>
              <w:rPr>
                <w:rFonts w:cs="Arial"/>
                <w:sz w:val="22"/>
                <w:szCs w:val="22"/>
              </w:rPr>
              <w:t xml:space="preserve">Analisi documentale e riunione in modalità telematica </w:t>
            </w:r>
          </w:p>
        </w:tc>
      </w:tr>
      <w:tr>
        <w:trPr>
          <w:trHeight w:val="562" w:hRule="atLeast"/>
        </w:trPr>
        <w:tc>
          <w:tcPr>
            <w:tcW w:w="148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Titolo1"/>
              <w:numPr>
                <w:ilvl w:val="0"/>
                <w:numId w:val="2"/>
              </w:numPr>
              <w:spacing w:before="120" w:after="0"/>
              <w:ind w:left="142" w:hanging="0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Presenti</w:t>
            </w:r>
          </w:p>
        </w:tc>
        <w:tc>
          <w:tcPr>
            <w:tcW w:w="829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before="120" w:after="0"/>
              <w:ind w:right="139" w:hanging="0"/>
              <w:jc w:val="both"/>
              <w:rPr/>
            </w:pPr>
            <w:r>
              <w:rPr>
                <w:rFonts w:cs="Arial"/>
                <w:sz w:val="22"/>
                <w:szCs w:val="22"/>
              </w:rPr>
              <w:t>Per l’OIV: Dott.ssa Bonini, Dott.ssa Pellegrini, Dott. Romolini</w:t>
            </w:r>
          </w:p>
        </w:tc>
      </w:tr>
    </w:tbl>
    <w:tbl>
      <w:tblPr>
        <w:tblW w:w="9791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1" w:type="dxa"/>
          <w:bottom w:w="0" w:type="dxa"/>
          <w:right w:w="0" w:type="dxa"/>
        </w:tblCellMar>
        <w:tblLook w:val="0000"/>
      </w:tblPr>
      <w:tblGrid>
        <w:gridCol w:w="8"/>
        <w:gridCol w:w="1481"/>
        <w:gridCol w:w="8289"/>
        <w:gridCol w:w="13"/>
      </w:tblGrid>
      <w:tr>
        <w:trPr/>
        <w:tc>
          <w:tcPr>
            <w:tcW w:w="14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Titolo1"/>
              <w:numPr>
                <w:ilvl w:val="0"/>
                <w:numId w:val="2"/>
              </w:numPr>
              <w:spacing w:before="120" w:after="0"/>
              <w:ind w:left="142" w:hanging="0"/>
              <w:jc w:val="left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Argomento </w:t>
            </w:r>
          </w:p>
        </w:tc>
        <w:tc>
          <w:tcPr>
            <w:tcW w:w="8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rFonts w:cs="Arial"/>
                <w:b/>
                <w:sz w:val="22"/>
                <w:szCs w:val="22"/>
              </w:rPr>
              <w:t>Validazione aggiornamento Relazione della Performance 2021</w:t>
            </w:r>
          </w:p>
        </w:tc>
        <w:tc>
          <w:tcPr>
            <w:tcW w:w="1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8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ind w:right="142" w:hanging="0"/>
              <w:jc w:val="both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L’</w:t>
            </w:r>
            <w:r>
              <w:rPr>
                <w:rFonts w:cs="Arial"/>
                <w:b w:val="false"/>
                <w:bCs w:val="false"/>
                <w:sz w:val="22"/>
                <w:szCs w:val="22"/>
              </w:rPr>
              <w:t xml:space="preserve">Organismo Indipendente di Valutazione ha preso in esame, separatamente ciascun componente e collegialmente in modalità telematica, la Relazione della Performance 2021 inviata tramite mail dall’Azienda in bozza preliminare il 21/11/2022, successivamente aggiornata il 05/12/2022 ed in forma definitiva il 15/12/2022. </w:t>
            </w:r>
          </w:p>
          <w:p>
            <w:pPr>
              <w:pStyle w:val="Normal"/>
              <w:ind w:right="142" w:hanging="0"/>
              <w:jc w:val="both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 xml:space="preserve">Nella versione finale sono state recepite le osservazioni suggerite dall'OIV via mail il 29/11/2022 ed in riunione telematica tenutasi in data 13/12/2022. </w:t>
            </w:r>
          </w:p>
          <w:p>
            <w:pPr>
              <w:pStyle w:val="Normal"/>
              <w:ind w:right="142" w:hanging="0"/>
              <w:jc w:val="both"/>
              <w:rPr>
                <w:rFonts w:ascii="Arial" w:hAnsi="Arial" w:cs="Arial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ind w:right="142" w:hanging="0"/>
              <w:jc w:val="both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 xml:space="preserve">L’OIV ha esaminato la struttura e il contenuto dell’atto e a seguito della sua analisi è emerso, tra l’altro, quanto segue: </w:t>
            </w:r>
          </w:p>
          <w:p>
            <w:pPr>
              <w:pStyle w:val="Normal"/>
              <w:ind w:right="142" w:hanging="0"/>
              <w:jc w:val="both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- prosegue il percorso di semplificazione, chiarezza e comprensibilità del documento anche mediante il ricorso a rappresentazioni grafiche ed alla presenza di prospetti di sintesi sugli obiettivi e sui risultati raggiunti, in particolare sui risultati di attività sanitaria;</w:t>
            </w:r>
          </w:p>
          <w:p>
            <w:pPr>
              <w:pStyle w:val="Normal"/>
              <w:ind w:right="142" w:hanging="0"/>
              <w:jc w:val="both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- permane la coerenza di contenuti tra piano della performance e relazione sulla performance;</w:t>
            </w:r>
          </w:p>
          <w:p>
            <w:pPr>
              <w:pStyle w:val="Normal"/>
              <w:ind w:right="142" w:hanging="0"/>
              <w:jc w:val="both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- la raccolta ed elaborazione dei dati a cura dalla SOC Monitoraggio e programmazione performance clinico-assistenziale garantisce l’attendibilità e la qualità delle risultanze quantitative riportate nella relazione.</w:t>
            </w:r>
          </w:p>
          <w:p>
            <w:pPr>
              <w:pStyle w:val="Normal"/>
              <w:ind w:right="142" w:hanging="0"/>
              <w:jc w:val="both"/>
              <w:rPr>
                <w:rFonts w:ascii="Arial" w:hAnsi="Arial" w:cs="Arial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ind w:right="142" w:hanging="0"/>
              <w:jc w:val="both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 xml:space="preserve">Tutto ciò premesso, l’OIV </w:t>
            </w:r>
            <w:r>
              <w:rPr>
                <w:rFonts w:cs="Arial"/>
                <w:b/>
                <w:bCs/>
                <w:sz w:val="22"/>
                <w:szCs w:val="22"/>
              </w:rPr>
              <w:t>valida</w:t>
            </w:r>
            <w:r>
              <w:rPr>
                <w:rFonts w:cs="Arial"/>
                <w:b w:val="false"/>
                <w:bCs w:val="false"/>
                <w:sz w:val="22"/>
                <w:szCs w:val="22"/>
              </w:rPr>
              <w:t xml:space="preserve"> la Relazione sulla Performance 2021 ed invita l’Azienda a pubblicare la stessa e il presente atto di validazione sul proprio sito istituzionale. </w:t>
            </w:r>
          </w:p>
          <w:p>
            <w:pPr>
              <w:pStyle w:val="Normal"/>
              <w:ind w:right="142" w:hanging="0"/>
              <w:jc w:val="both"/>
              <w:rPr>
                <w:rFonts w:ascii="Arial" w:hAnsi="Arial" w:cs="Arial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ind w:right="142" w:hanging="0"/>
              <w:jc w:val="both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 xml:space="preserve">Alla luce dell’analisi di cui sopra e in un’ottica di miglioramento continuo della qualità della Relazione, l’OIV per il prossimo ciclo valutativo riconferma l’opportunità di: </w:t>
            </w:r>
          </w:p>
          <w:p>
            <w:pPr>
              <w:pStyle w:val="Normal"/>
              <w:ind w:right="142" w:hanging="0"/>
              <w:jc w:val="both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- migliorare il processo di valutazione della performance sotto il profilo della tempistica che permane ancora troppo lunga, anticipando la conclusione della misurazione e della redazione della relazione sulla performance;</w:t>
            </w:r>
          </w:p>
          <w:p>
            <w:pPr>
              <w:pStyle w:val="Normal"/>
              <w:ind w:right="142" w:hanging="0"/>
              <w:jc w:val="both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- affinare la misurazione dei risultati della performance organizzativa delle articolazioni aziendali in una logica di valorizzare il merito delle diverse unità organizzative aziendali;</w:t>
            </w:r>
          </w:p>
          <w:p>
            <w:pPr>
              <w:pStyle w:val="Normal"/>
              <w:ind w:right="142" w:hanging="0"/>
              <w:jc w:val="both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 xml:space="preserve">- illustrare in sede di relazione della performance le principali attività svolte con riguardo alla prevenzione della corruzione e alla trasparenza.  </w:t>
            </w:r>
          </w:p>
          <w:p>
            <w:pPr>
              <w:pStyle w:val="Normal"/>
              <w:ind w:right="142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tbl>
      <w:tblPr>
        <w:tblW w:w="9852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1" w:type="dxa"/>
          <w:bottom w:w="0" w:type="dxa"/>
          <w:right w:w="0" w:type="dxa"/>
        </w:tblCellMar>
        <w:tblLook w:val="0000"/>
      </w:tblPr>
      <w:tblGrid>
        <w:gridCol w:w="4516"/>
        <w:gridCol w:w="5335"/>
      </w:tblGrid>
      <w:tr>
        <w:trPr/>
        <w:tc>
          <w:tcPr>
            <w:tcW w:w="4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Titolo1"/>
              <w:numPr>
                <w:ilvl w:val="0"/>
                <w:numId w:val="0"/>
              </w:numPr>
              <w:ind w:left="142" w:hanging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Il presente verbale è stato redatto da</w:t>
            </w:r>
          </w:p>
        </w:tc>
        <w:tc>
          <w:tcPr>
            <w:tcW w:w="5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Titolo1"/>
              <w:numPr>
                <w:ilvl w:val="0"/>
                <w:numId w:val="0"/>
              </w:numPr>
              <w:rPr/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 xml:space="preserve">Anna Bonini </w:t>
            </w:r>
          </w:p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rPr/>
      </w:pPr>
      <w:r>
        <w:rPr>
          <w:rFonts w:cs="Arial"/>
          <w:b/>
          <w:sz w:val="22"/>
          <w:szCs w:val="22"/>
        </w:rPr>
        <w:t>1</w:t>
      </w:r>
      <w:r>
        <w:rPr>
          <w:rFonts w:cs="Arial"/>
          <w:b/>
          <w:sz w:val="22"/>
          <w:szCs w:val="22"/>
        </w:rPr>
        <w:t xml:space="preserve">6 </w:t>
      </w:r>
      <w:r>
        <w:rPr>
          <w:rFonts w:cs="Arial"/>
          <w:b/>
          <w:sz w:val="22"/>
          <w:szCs w:val="22"/>
        </w:rPr>
        <w:t xml:space="preserve">dicembre </w:t>
      </w:r>
      <w:r>
        <w:rPr>
          <w:rFonts w:cs="Arial"/>
          <w:b/>
          <w:sz w:val="22"/>
          <w:szCs w:val="22"/>
        </w:rPr>
        <w:t>202</w:t>
      </w:r>
      <w:r>
        <w:rPr>
          <w:rFonts w:cs="Arial"/>
          <w:b/>
          <w:sz w:val="22"/>
          <w:szCs w:val="22"/>
        </w:rPr>
        <w:t>2</w:t>
      </w:r>
      <w:r>
        <w:rPr>
          <w:rFonts w:cs="Arial"/>
          <w:b/>
          <w:sz w:val="22"/>
          <w:szCs w:val="22"/>
        </w:rPr>
        <w:tab/>
        <w:tab/>
        <w:t xml:space="preserve">Letto e approvato </w:t>
      </w:r>
    </w:p>
    <w:p>
      <w:pPr>
        <w:pStyle w:val="Normal"/>
        <w:rPr>
          <w:rFonts w:cs="Arial"/>
          <w:b/>
          <w:b/>
          <w:sz w:val="22"/>
          <w:szCs w:val="22"/>
        </w:rPr>
      </w:pPr>
      <w:bookmarkStart w:id="0" w:name="_Hlk27759018"/>
      <w:bookmarkStart w:id="1" w:name="_Hlk27759018"/>
      <w:bookmarkEnd w:id="1"/>
      <w:r>
        <w:rPr>
          <w:rFonts w:cs="Arial"/>
          <w:b/>
          <w:sz w:val="22"/>
          <w:szCs w:val="22"/>
        </w:rPr>
      </w:r>
    </w:p>
    <w:p>
      <w:pPr>
        <w:pStyle w:val="Normal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Dott.ssa Anna Bonini</w:t>
        <w:tab/>
      </w:r>
    </w:p>
    <w:p>
      <w:pPr>
        <w:pStyle w:val="Normal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Dott.ssa Gabriella Pellegrini</w:t>
      </w:r>
    </w:p>
    <w:p>
      <w:pPr>
        <w:pStyle w:val="Normal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Dott. Alberto Romolini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701" w:footer="851" w:bottom="111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21" w:type="dxa"/>
      <w:jc w:val="left"/>
      <w:tblInd w:w="70" w:type="dxa"/>
      <w:tblBorders>
        <w:top w:val="single" w:sz="4" w:space="0" w:color="00000A"/>
        <w:left w:val="single" w:sz="6" w:space="0" w:color="00000A"/>
        <w:bottom w:val="single" w:sz="6" w:space="0" w:color="00000A"/>
        <w:insideH w:val="single" w:sz="6" w:space="0" w:color="00000A"/>
      </w:tblBorders>
      <w:tblCellMar>
        <w:top w:w="0" w:type="dxa"/>
        <w:left w:w="69" w:type="dxa"/>
        <w:bottom w:w="0" w:type="dxa"/>
        <w:right w:w="70" w:type="dxa"/>
      </w:tblCellMar>
      <w:tblLook w:val="0000"/>
    </w:tblPr>
    <w:tblGrid>
      <w:gridCol w:w="1439"/>
      <w:gridCol w:w="2520"/>
      <w:gridCol w:w="2700"/>
      <w:gridCol w:w="1801"/>
      <w:gridCol w:w="1261"/>
    </w:tblGrid>
    <w:tr>
      <w:trPr/>
      <w:tc>
        <w:tcPr>
          <w:tcW w:w="1439" w:type="dxa"/>
          <w:tcBorders>
            <w:top w:val="single" w:sz="4" w:space="0" w:color="00000A"/>
            <w:left w:val="single" w:sz="6" w:space="0" w:color="00000A"/>
            <w:bottom w:val="single" w:sz="6" w:space="0" w:color="00000A"/>
            <w:insideH w:val="single" w:sz="6" w:space="0" w:color="00000A"/>
          </w:tcBorders>
          <w:shd w:fill="auto" w:val="clear"/>
          <w:tcMar>
            <w:left w:w="69" w:type="dxa"/>
          </w:tcMar>
        </w:tcPr>
        <w:p>
          <w:pPr>
            <w:pStyle w:val="Normtitolo1"/>
            <w:spacing w:lineRule="auto" w:line="240" w:before="0" w:after="0"/>
            <w:ind w:left="-70" w:right="0" w:hanging="0"/>
            <w:jc w:val="center"/>
            <w:rPr>
              <w:b w:val="false"/>
              <w:b w:val="false"/>
              <w:sz w:val="20"/>
              <w:u w:val="none"/>
            </w:rPr>
          </w:pPr>
          <w:r>
            <w:rPr>
              <w:b w:val="false"/>
              <w:sz w:val="20"/>
              <w:u w:val="none"/>
            </w:rPr>
          </w:r>
        </w:p>
      </w:tc>
      <w:tc>
        <w:tcPr>
          <w:tcW w:w="2520" w:type="dxa"/>
          <w:tcBorders>
            <w:top w:val="single" w:sz="4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cBorders>
          <w:shd w:fill="auto" w:val="clear"/>
          <w:tcMar>
            <w:left w:w="69" w:type="dxa"/>
          </w:tcMar>
        </w:tcPr>
        <w:p>
          <w:pPr>
            <w:pStyle w:val="Normtitolo1"/>
            <w:spacing w:lineRule="auto" w:line="240" w:before="0" w:after="0"/>
            <w:ind w:left="0" w:right="0" w:hanging="0"/>
            <w:rPr>
              <w:b w:val="false"/>
              <w:b w:val="false"/>
              <w:sz w:val="20"/>
              <w:u w:val="none"/>
            </w:rPr>
          </w:pPr>
          <w:r>
            <w:rPr>
              <w:b w:val="false"/>
              <w:sz w:val="20"/>
              <w:u w:val="none"/>
            </w:rPr>
          </w:r>
        </w:p>
      </w:tc>
      <w:tc>
        <w:tcPr>
          <w:tcW w:w="2700" w:type="dxa"/>
          <w:tcBorders>
            <w:top w:val="single" w:sz="4" w:space="0" w:color="00000A"/>
            <w:left w:val="single" w:sz="6" w:space="0" w:color="00000A"/>
            <w:bottom w:val="single" w:sz="6" w:space="0" w:color="00000A"/>
            <w:insideH w:val="single" w:sz="6" w:space="0" w:color="00000A"/>
          </w:tcBorders>
          <w:shd w:fill="auto" w:val="clear"/>
          <w:tcMar>
            <w:left w:w="69" w:type="dxa"/>
          </w:tcMar>
        </w:tcPr>
        <w:p>
          <w:pPr>
            <w:pStyle w:val="Normtitolo1"/>
            <w:spacing w:lineRule="auto" w:line="240" w:before="0" w:after="0"/>
            <w:ind w:left="0" w:right="0" w:hanging="0"/>
            <w:rPr>
              <w:b w:val="false"/>
              <w:b w:val="false"/>
              <w:sz w:val="20"/>
              <w:u w:val="none"/>
            </w:rPr>
          </w:pPr>
          <w:r>
            <w:rPr>
              <w:b w:val="false"/>
              <w:sz w:val="20"/>
              <w:u w:val="none"/>
            </w:rPr>
          </w:r>
        </w:p>
      </w:tc>
      <w:tc>
        <w:tcPr>
          <w:tcW w:w="1801" w:type="dxa"/>
          <w:tcBorders>
            <w:top w:val="single" w:sz="6" w:space="0" w:color="00000A"/>
            <w:left w:val="single" w:sz="4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cBorders>
          <w:shd w:fill="auto" w:val="clear"/>
          <w:tcMar>
            <w:left w:w="72" w:type="dxa"/>
          </w:tcMar>
        </w:tcPr>
        <w:p>
          <w:pPr>
            <w:pStyle w:val="Normtitolo1"/>
            <w:spacing w:lineRule="auto" w:line="240" w:before="0" w:after="0"/>
            <w:ind w:left="0" w:right="0" w:hanging="0"/>
            <w:jc w:val="center"/>
            <w:rPr>
              <w:b w:val="false"/>
              <w:b w:val="false"/>
              <w:sz w:val="20"/>
              <w:u w:val="none"/>
            </w:rPr>
          </w:pPr>
          <w:r>
            <w:rPr>
              <w:b w:val="false"/>
              <w:sz w:val="20"/>
              <w:u w:val="none"/>
            </w:rPr>
          </w:r>
        </w:p>
      </w:tc>
      <w:tc>
        <w:tcPr>
          <w:tcW w:w="1261" w:type="dxa"/>
          <w:tc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cBorders>
          <w:shd w:fill="auto" w:val="clear"/>
          <w:tcMar>
            <w:left w:w="69" w:type="dxa"/>
          </w:tcMar>
        </w:tcPr>
        <w:p>
          <w:pPr>
            <w:pStyle w:val="Normtitolo1"/>
            <w:spacing w:lineRule="auto" w:line="240" w:before="0" w:after="0"/>
            <w:ind w:left="0" w:right="0" w:hanging="0"/>
            <w:jc w:val="center"/>
            <w:rPr/>
          </w:pPr>
          <w:r>
            <w:rPr>
              <w:rStyle w:val="Pagenumber"/>
              <w:rFonts w:ascii="Arial" w:hAnsi="Arial"/>
              <w:b w:val="false"/>
              <w:spacing w:val="0"/>
              <w:sz w:val="16"/>
              <w:u w:val="none"/>
            </w:rPr>
            <w:t xml:space="preserve">Pag. </w:t>
          </w:r>
          <w:r>
            <w:rPr>
              <w:rStyle w:val="Pagenumber"/>
              <w:rFonts w:ascii="Arial" w:hAnsi="Arial"/>
              <w:b w:val="false"/>
              <w:spacing w:val="0"/>
              <w:sz w:val="16"/>
              <w:u w:val="none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Style w:val="Pagenumber"/>
              <w:rFonts w:ascii="Arial" w:hAnsi="Arial"/>
            </w:rPr>
            <w:t xml:space="preserve"> </w:t>
          </w:r>
          <w:r>
            <w:rPr>
              <w:rStyle w:val="Pagenumber"/>
              <w:rFonts w:ascii="Arial" w:hAnsi="Arial"/>
              <w:b w:val="false"/>
              <w:sz w:val="16"/>
              <w:u w:val="none"/>
            </w:rPr>
            <w:t xml:space="preserve">di </w:t>
          </w:r>
          <w:r>
            <w:rPr>
              <w:rStyle w:val="Pagenumber"/>
              <w:rFonts w:ascii="Arial" w:hAnsi="Arial"/>
              <w:b w:val="false"/>
              <w:spacing w:val="0"/>
              <w:sz w:val="16"/>
              <w:u w:val="none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Pidipagina"/>
      <w:pBdr>
        <w:top w:val="single" w:sz="4" w:space="1" w:color="00000A"/>
      </w:pBdr>
      <w:tabs>
        <w:tab w:val="left" w:pos="1701" w:leader="none"/>
        <w:tab w:val="right" w:pos="9638" w:leader="none"/>
      </w:tabs>
      <w:jc w:val="both"/>
      <w:rPr/>
    </w:pPr>
    <w:r>
      <w:rPr/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809" w:type="dxa"/>
      <w:jc w:val="left"/>
      <w:tblInd w:w="0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top w:w="0" w:type="dxa"/>
        <w:left w:w="79" w:type="dxa"/>
        <w:bottom w:w="0" w:type="dxa"/>
        <w:right w:w="79" w:type="dxa"/>
      </w:tblCellMar>
      <w:tblLook w:val="0000"/>
    </w:tblPr>
    <w:tblGrid>
      <w:gridCol w:w="1878"/>
      <w:gridCol w:w="5948"/>
      <w:gridCol w:w="1983"/>
    </w:tblGrid>
    <w:tr>
      <w:trPr>
        <w:trHeight w:val="714" w:hRule="atLeast"/>
        <w:cantSplit w:val="true"/>
      </w:trPr>
      <w:tc>
        <w:tcPr>
          <w:tcW w:w="18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79" w:type="dxa"/>
          </w:tcMar>
        </w:tcPr>
        <w:p>
          <w:pPr>
            <w:pStyle w:val="Intestazione"/>
            <w:rPr/>
          </w:pPr>
          <w:r>
            <w:rPr/>
          </w:r>
        </w:p>
      </w:tc>
      <w:tc>
        <w:tcPr>
          <w:tcW w:w="594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79" w:type="dxa"/>
          </w:tcMar>
          <w:vAlign w:val="center"/>
        </w:tcPr>
        <w:p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Verbale</w:t>
          </w:r>
        </w:p>
      </w:tc>
      <w:tc>
        <w:tcPr>
          <w:tcW w:w="198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79" w:type="dxa"/>
          </w:tcMar>
          <w:vAlign w:val="center"/>
        </w:tcPr>
        <w:p>
          <w:pPr>
            <w:pStyle w:val="Intestazione"/>
            <w:jc w:val="center"/>
            <w:rPr/>
          </w:pPr>
          <w:r>
            <w:rPr>
              <w:b/>
            </w:rPr>
            <w:t>2</w:t>
          </w:r>
          <w:r>
            <w:rPr>
              <w:b/>
            </w:rPr>
            <w:t>6</w:t>
          </w:r>
        </w:p>
      </w:tc>
    </w:tr>
  </w:tbl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462c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qFormat/>
    <w:rsid w:val="0015462c"/>
    <w:pPr>
      <w:keepNext w:val="true"/>
      <w:numPr>
        <w:ilvl w:val="0"/>
        <w:numId w:val="1"/>
      </w:numPr>
      <w:jc w:val="center"/>
      <w:outlineLvl w:val="0"/>
    </w:pPr>
    <w:rPr>
      <w:rFonts w:ascii="Times New Roman" w:hAnsi="Times New Roman"/>
      <w:sz w:val="24"/>
    </w:rPr>
  </w:style>
  <w:style w:type="paragraph" w:styleId="Titolo2">
    <w:name w:val="Heading 2"/>
    <w:basedOn w:val="Normal"/>
    <w:qFormat/>
    <w:rsid w:val="0015462c"/>
    <w:pPr>
      <w:keepNext w:val="true"/>
      <w:ind w:left="6372" w:firstLine="708"/>
      <w:jc w:val="center"/>
      <w:outlineLvl w:val="1"/>
    </w:pPr>
    <w:rPr>
      <w:rFonts w:ascii="Times New Roman" w:hAnsi="Times New Roman"/>
      <w:b/>
      <w:sz w:val="24"/>
    </w:rPr>
  </w:style>
  <w:style w:type="paragraph" w:styleId="Titolo3">
    <w:name w:val="Heading 3"/>
    <w:basedOn w:val="Normal"/>
    <w:qFormat/>
    <w:rsid w:val="0015462c"/>
    <w:pPr>
      <w:keepNext w:val="true"/>
      <w:jc w:val="both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Normal"/>
    <w:qFormat/>
    <w:rsid w:val="0015462c"/>
    <w:pPr>
      <w:keepNext w:val="true"/>
      <w:ind w:firstLine="708"/>
      <w:jc w:val="both"/>
      <w:outlineLvl w:val="3"/>
    </w:pPr>
    <w:rPr>
      <w:sz w:val="24"/>
    </w:rPr>
  </w:style>
  <w:style w:type="paragraph" w:styleId="Titolo5">
    <w:name w:val="Heading 5"/>
    <w:basedOn w:val="Normal"/>
    <w:qFormat/>
    <w:rsid w:val="0015462c"/>
    <w:pPr>
      <w:keepNext w:val="true"/>
      <w:ind w:firstLine="567"/>
      <w:outlineLvl w:val="4"/>
    </w:pPr>
    <w:rPr>
      <w:rFonts w:ascii="Times New Roman" w:hAnsi="Times New Roman"/>
      <w:sz w:val="24"/>
    </w:rPr>
  </w:style>
  <w:style w:type="paragraph" w:styleId="Titolo6">
    <w:name w:val="Heading 6"/>
    <w:basedOn w:val="Normal"/>
    <w:qFormat/>
    <w:rsid w:val="0015462c"/>
    <w:pPr>
      <w:keepNext w:val="true"/>
      <w:ind w:firstLine="360"/>
      <w:outlineLvl w:val="5"/>
    </w:pPr>
    <w:rPr>
      <w:rFonts w:ascii="Times New Roman" w:hAnsi="Times New Roman"/>
      <w:sz w:val="24"/>
    </w:rPr>
  </w:style>
  <w:style w:type="paragraph" w:styleId="Titolo7">
    <w:name w:val="Heading 7"/>
    <w:basedOn w:val="Normal"/>
    <w:qFormat/>
    <w:rsid w:val="0015462c"/>
    <w:pPr>
      <w:keepNext w:val="true"/>
      <w:jc w:val="both"/>
      <w:outlineLvl w:val="6"/>
    </w:pPr>
    <w:rPr>
      <w:rFonts w:ascii="Times New Roman" w:hAnsi="Times New Roman"/>
      <w:b/>
      <w:sz w:val="24"/>
    </w:rPr>
  </w:style>
  <w:style w:type="paragraph" w:styleId="Titolo8">
    <w:name w:val="Heading 8"/>
    <w:basedOn w:val="Normal"/>
    <w:qFormat/>
    <w:rsid w:val="0015462c"/>
    <w:pPr>
      <w:keepNext w:val="true"/>
      <w:jc w:val="both"/>
      <w:outlineLvl w:val="7"/>
    </w:pPr>
    <w:rPr>
      <w:rFonts w:ascii="Times New Roman" w:hAnsi="Times New Roman"/>
      <w:b/>
      <w:sz w:val="28"/>
    </w:rPr>
  </w:style>
  <w:style w:type="paragraph" w:styleId="Titolo9">
    <w:name w:val="Heading 9"/>
    <w:basedOn w:val="Normal"/>
    <w:qFormat/>
    <w:rsid w:val="0015462c"/>
    <w:pPr>
      <w:keepNext w:val="true"/>
      <w:ind w:left="3828" w:hanging="3828"/>
      <w:outlineLvl w:val="8"/>
    </w:pPr>
    <w:rPr>
      <w:rFonts w:ascii="Times New Roman" w:hAnsi="Times New Roman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AbsatzStandardschriftart" w:customStyle="1">
    <w:name w:val="WW-Absatz-Standardschriftart"/>
    <w:qFormat/>
    <w:rsid w:val="0015462c"/>
    <w:rPr/>
  </w:style>
  <w:style w:type="character" w:styleId="WWCaratterepredefinitoparagrafo" w:customStyle="1">
    <w:name w:val="WW-Carattere predefinito paragrafo"/>
    <w:qFormat/>
    <w:rsid w:val="0015462c"/>
    <w:rPr/>
  </w:style>
  <w:style w:type="character" w:styleId="WW8Num6z0" w:customStyle="1">
    <w:name w:val="WW8Num6z0"/>
    <w:qFormat/>
    <w:rsid w:val="0015462c"/>
    <w:rPr>
      <w:rFonts w:ascii="Symbol" w:hAnsi="Symbol"/>
      <w:color w:val="00000A"/>
    </w:rPr>
  </w:style>
  <w:style w:type="character" w:styleId="WW8Num12z0" w:customStyle="1">
    <w:name w:val="WW8Num12z0"/>
    <w:qFormat/>
    <w:rsid w:val="0015462c"/>
    <w:rPr>
      <w:rFonts w:ascii="Symbol" w:hAnsi="Symbol"/>
    </w:rPr>
  </w:style>
  <w:style w:type="character" w:styleId="WW8Num20z0" w:customStyle="1">
    <w:name w:val="WW8Num20z0"/>
    <w:qFormat/>
    <w:rsid w:val="0015462c"/>
    <w:rPr>
      <w:rFonts w:ascii="Symbol" w:hAnsi="Symbol"/>
    </w:rPr>
  </w:style>
  <w:style w:type="character" w:styleId="WW8Num21z0" w:customStyle="1">
    <w:name w:val="WW8Num21z0"/>
    <w:qFormat/>
    <w:rsid w:val="0015462c"/>
    <w:rPr>
      <w:rFonts w:ascii="Symbol" w:hAnsi="Symbol"/>
    </w:rPr>
  </w:style>
  <w:style w:type="character" w:styleId="WW8Num22z0" w:customStyle="1">
    <w:name w:val="WW8Num22z0"/>
    <w:qFormat/>
    <w:rsid w:val="0015462c"/>
    <w:rPr>
      <w:rFonts w:ascii="Symbol" w:hAnsi="Symbol"/>
    </w:rPr>
  </w:style>
  <w:style w:type="character" w:styleId="WW8Num25z0" w:customStyle="1">
    <w:name w:val="WW8Num25z0"/>
    <w:qFormat/>
    <w:rsid w:val="0015462c"/>
    <w:rPr>
      <w:rFonts w:ascii="Symbol" w:hAnsi="Symbol"/>
    </w:rPr>
  </w:style>
  <w:style w:type="character" w:styleId="WW8Num27z0" w:customStyle="1">
    <w:name w:val="WW8Num27z0"/>
    <w:qFormat/>
    <w:rsid w:val="0015462c"/>
    <w:rPr>
      <w:rFonts w:ascii="Symbol" w:hAnsi="Symbol"/>
    </w:rPr>
  </w:style>
  <w:style w:type="character" w:styleId="WW8Num28z0" w:customStyle="1">
    <w:name w:val="WW8Num28z0"/>
    <w:qFormat/>
    <w:rsid w:val="0015462c"/>
    <w:rPr>
      <w:rFonts w:ascii="Symbol" w:hAnsi="Symbol"/>
    </w:rPr>
  </w:style>
  <w:style w:type="character" w:styleId="WW8Num32z0" w:customStyle="1">
    <w:name w:val="WW8Num32z0"/>
    <w:qFormat/>
    <w:rsid w:val="0015462c"/>
    <w:rPr>
      <w:rFonts w:ascii="Symbol" w:hAnsi="Symbol"/>
    </w:rPr>
  </w:style>
  <w:style w:type="character" w:styleId="WW8Num34z0" w:customStyle="1">
    <w:name w:val="WW8Num34z0"/>
    <w:qFormat/>
    <w:rsid w:val="0015462c"/>
    <w:rPr>
      <w:rFonts w:ascii="Symbol" w:hAnsi="Symbol"/>
      <w:color w:val="00000A"/>
    </w:rPr>
  </w:style>
  <w:style w:type="character" w:styleId="WW8Num35z0" w:customStyle="1">
    <w:name w:val="WW8Num35z0"/>
    <w:qFormat/>
    <w:rsid w:val="0015462c"/>
    <w:rPr>
      <w:rFonts w:ascii="Symbol" w:hAnsi="Symbol"/>
    </w:rPr>
  </w:style>
  <w:style w:type="character" w:styleId="WW8Num39z0" w:customStyle="1">
    <w:name w:val="WW8Num39z0"/>
    <w:qFormat/>
    <w:rsid w:val="0015462c"/>
    <w:rPr>
      <w:rFonts w:ascii="Symbol" w:hAnsi="Symbol"/>
    </w:rPr>
  </w:style>
  <w:style w:type="character" w:styleId="WW8Num40z0" w:customStyle="1">
    <w:name w:val="WW8Num40z0"/>
    <w:qFormat/>
    <w:rsid w:val="0015462c"/>
    <w:rPr>
      <w:rFonts w:ascii="Symbol" w:hAnsi="Symbol"/>
      <w:color w:val="00000A"/>
    </w:rPr>
  </w:style>
  <w:style w:type="character" w:styleId="WW8Num45z0" w:customStyle="1">
    <w:name w:val="WW8Num45z0"/>
    <w:qFormat/>
    <w:rsid w:val="0015462c"/>
    <w:rPr>
      <w:rFonts w:ascii="Symbol" w:hAnsi="Symbol"/>
    </w:rPr>
  </w:style>
  <w:style w:type="character" w:styleId="WW8Num46z0" w:customStyle="1">
    <w:name w:val="WW8Num46z0"/>
    <w:qFormat/>
    <w:rsid w:val="0015462c"/>
    <w:rPr>
      <w:rFonts w:ascii="Symbol" w:hAnsi="Symbol"/>
    </w:rPr>
  </w:style>
  <w:style w:type="character" w:styleId="WW8Num53z0" w:customStyle="1">
    <w:name w:val="WW8Num53z0"/>
    <w:qFormat/>
    <w:rsid w:val="0015462c"/>
    <w:rPr>
      <w:rFonts w:ascii="Symbol" w:hAnsi="Symbol"/>
      <w:color w:val="00000A"/>
    </w:rPr>
  </w:style>
  <w:style w:type="character" w:styleId="WW8Num54z0" w:customStyle="1">
    <w:name w:val="WW8Num54z0"/>
    <w:qFormat/>
    <w:rsid w:val="0015462c"/>
    <w:rPr>
      <w:rFonts w:ascii="Symbol" w:hAnsi="Symbol"/>
    </w:rPr>
  </w:style>
  <w:style w:type="character" w:styleId="WW8Num55z0" w:customStyle="1">
    <w:name w:val="WW8Num55z0"/>
    <w:qFormat/>
    <w:rsid w:val="0015462c"/>
    <w:rPr>
      <w:rFonts w:ascii="Symbol" w:hAnsi="Symbol"/>
    </w:rPr>
  </w:style>
  <w:style w:type="character" w:styleId="CollegamentoInternet">
    <w:name w:val="Collegamento Internet"/>
    <w:rsid w:val="0015462c"/>
    <w:rPr>
      <w:color w:val="0000FF"/>
      <w:u w:val="single"/>
    </w:rPr>
  </w:style>
  <w:style w:type="character" w:styleId="Pagenumber">
    <w:name w:val="page number"/>
    <w:basedOn w:val="DefaultParagraphFont"/>
    <w:qFormat/>
    <w:rsid w:val="0015462c"/>
    <w:rPr/>
  </w:style>
  <w:style w:type="character" w:styleId="Strong">
    <w:name w:val="Strong"/>
    <w:qFormat/>
    <w:rsid w:val="00e6295c"/>
    <w:rPr>
      <w:b/>
      <w:bCs/>
    </w:rPr>
  </w:style>
  <w:style w:type="character" w:styleId="TestofumettoCarattere" w:customStyle="1">
    <w:name w:val="Testo fumetto Carattere"/>
    <w:basedOn w:val="DefaultParagraphFont"/>
    <w:link w:val="Testofumetto"/>
    <w:semiHidden/>
    <w:qFormat/>
    <w:rsid w:val="005568d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 w:val="false"/>
      <w:i w:val="false"/>
      <w:sz w:val="24"/>
    </w:rPr>
  </w:style>
  <w:style w:type="character" w:styleId="ListLabel2">
    <w:name w:val="ListLabel 2"/>
    <w:qFormat/>
    <w:rPr>
      <w:b w:val="false"/>
      <w:i w:val="false"/>
      <w:sz w:val="20"/>
    </w:rPr>
  </w:style>
  <w:style w:type="character" w:styleId="ListLabel3">
    <w:name w:val="ListLabel 3"/>
    <w:qFormat/>
    <w:rPr>
      <w:b w:val="false"/>
      <w:i w:val="false"/>
      <w:sz w:val="20"/>
    </w:rPr>
  </w:style>
  <w:style w:type="character" w:styleId="ListLabel4">
    <w:name w:val="ListLabel 4"/>
    <w:qFormat/>
    <w:rPr>
      <w:b/>
      <w:i w:val="false"/>
      <w:sz w:val="20"/>
    </w:rPr>
  </w:style>
  <w:style w:type="character" w:styleId="ListLabel5">
    <w:name w:val="ListLabel 5"/>
    <w:qFormat/>
    <w:rPr>
      <w:b/>
      <w:i w:val="false"/>
      <w:sz w:val="20"/>
    </w:rPr>
  </w:style>
  <w:style w:type="character" w:styleId="ListLabel6">
    <w:name w:val="ListLabel 6"/>
    <w:qFormat/>
    <w:rPr>
      <w:b/>
      <w:i w:val="false"/>
      <w:sz w:val="20"/>
    </w:rPr>
  </w:style>
  <w:style w:type="character" w:styleId="ListLabel7">
    <w:name w:val="ListLabel 7"/>
    <w:qFormat/>
    <w:rPr>
      <w:b/>
      <w:i w:val="false"/>
      <w:sz w:val="20"/>
    </w:rPr>
  </w:style>
  <w:style w:type="character" w:styleId="ListLabel8">
    <w:name w:val="ListLabel 8"/>
    <w:qFormat/>
    <w:rPr>
      <w:b/>
      <w:i w:val="false"/>
      <w:sz w:val="20"/>
    </w:rPr>
  </w:style>
  <w:style w:type="character" w:styleId="ListLabel9">
    <w:name w:val="ListLabel 9"/>
    <w:qFormat/>
    <w:rPr>
      <w:rFonts w:cs="Arial"/>
      <w:sz w:val="22"/>
    </w:rPr>
  </w:style>
  <w:style w:type="character" w:styleId="ListLabel10">
    <w:name w:val="ListLabel 10"/>
    <w:qFormat/>
    <w:rPr>
      <w:sz w:val="16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strike w:val="false"/>
      <w:dstrike w:val="false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eastAsia="Times New Roman" w:cs="Arial"/>
    </w:rPr>
  </w:style>
  <w:style w:type="character" w:styleId="ListLabel19">
    <w:name w:val="ListLabel 19"/>
    <w:qFormat/>
    <w:rPr>
      <w:rFonts w:eastAsia="Times New Roman" w:cs="Aria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eastAsia="Calibri" w:cs="Aria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Calibri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15462c"/>
    <w:pPr>
      <w:jc w:val="both"/>
    </w:pPr>
    <w:rPr>
      <w:rFonts w:ascii="Times New Roman" w:hAnsi="Times New Roman"/>
      <w:sz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Rientrocorpodeltesto">
    <w:name w:val="Body Text Indent"/>
    <w:basedOn w:val="Normal"/>
    <w:rsid w:val="0015462c"/>
    <w:pPr>
      <w:ind w:firstLine="567"/>
      <w:jc w:val="both"/>
    </w:pPr>
    <w:rPr>
      <w:rFonts w:ascii="Times New Roman" w:hAnsi="Times New Roman"/>
      <w:sz w:val="24"/>
    </w:rPr>
  </w:style>
  <w:style w:type="paragraph" w:styleId="Intestazione">
    <w:name w:val="Header"/>
    <w:basedOn w:val="Normal"/>
    <w:rsid w:val="0015462c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15462c"/>
    <w:pPr>
      <w:tabs>
        <w:tab w:val="center" w:pos="4819" w:leader="none"/>
        <w:tab w:val="right" w:pos="9638" w:leader="none"/>
      </w:tabs>
    </w:pPr>
    <w:rPr/>
  </w:style>
  <w:style w:type="paragraph" w:styleId="Contenutotabella" w:customStyle="1">
    <w:name w:val="Contenuto tabella"/>
    <w:basedOn w:val="Corpodeltesto"/>
    <w:qFormat/>
    <w:rsid w:val="0015462c"/>
    <w:pPr>
      <w:suppressLineNumbers/>
    </w:pPr>
    <w:rPr/>
  </w:style>
  <w:style w:type="paragraph" w:styleId="Intestazionetabella" w:customStyle="1">
    <w:name w:val="Intestazione tabella"/>
    <w:basedOn w:val="Contenutotabella"/>
    <w:qFormat/>
    <w:rsid w:val="0015462c"/>
    <w:pPr>
      <w:jc w:val="center"/>
    </w:pPr>
    <w:rPr>
      <w:b/>
      <w:i/>
    </w:rPr>
  </w:style>
  <w:style w:type="paragraph" w:styleId="Contenutocornice" w:customStyle="1">
    <w:name w:val="Contenuto cornice"/>
    <w:basedOn w:val="Corpodeltesto"/>
    <w:qFormat/>
    <w:rsid w:val="0015462c"/>
    <w:pPr/>
    <w:rPr/>
  </w:style>
  <w:style w:type="paragraph" w:styleId="WWTestodelblocco" w:customStyle="1">
    <w:name w:val="WW-Testo del blocco"/>
    <w:basedOn w:val="Normal"/>
    <w:qFormat/>
    <w:rsid w:val="0015462c"/>
    <w:pPr>
      <w:ind w:left="5670" w:right="-284" w:firstLine="1"/>
    </w:pPr>
    <w:rPr>
      <w:rFonts w:ascii="Times New Roman" w:hAnsi="Times New Roman"/>
      <w:sz w:val="24"/>
    </w:rPr>
  </w:style>
  <w:style w:type="paragraph" w:styleId="WWCorpodeltesto2" w:customStyle="1">
    <w:name w:val="WW-Corpo del testo 2"/>
    <w:basedOn w:val="Normal"/>
    <w:qFormat/>
    <w:rsid w:val="0015462c"/>
    <w:pPr/>
    <w:rPr>
      <w:rFonts w:ascii="Times New Roman" w:hAnsi="Times New Roman"/>
      <w:sz w:val="24"/>
    </w:rPr>
  </w:style>
  <w:style w:type="paragraph" w:styleId="BlockText">
    <w:name w:val="Block Text"/>
    <w:basedOn w:val="Normal"/>
    <w:qFormat/>
    <w:rsid w:val="0015462c"/>
    <w:pPr>
      <w:ind w:left="127" w:right="139" w:hanging="0"/>
      <w:jc w:val="both"/>
    </w:pPr>
    <w:rPr/>
  </w:style>
  <w:style w:type="paragraph" w:styleId="Normtitolo1" w:customStyle="1">
    <w:name w:val="Normtitolo 1"/>
    <w:basedOn w:val="Titolo1"/>
    <w:qFormat/>
    <w:rsid w:val="0015462c"/>
    <w:pPr>
      <w:keepNext w:val="false"/>
      <w:numPr>
        <w:ilvl w:val="0"/>
        <w:numId w:val="0"/>
      </w:numPr>
      <w:suppressAutoHyphens w:val="false"/>
      <w:spacing w:lineRule="atLeast" w:line="360" w:before="120" w:after="0"/>
      <w:ind w:left="1134" w:right="1133" w:hanging="0"/>
      <w:jc w:val="both"/>
    </w:pPr>
    <w:rPr>
      <w:rFonts w:ascii="Tahoma" w:hAnsi="Tahoma"/>
      <w:b/>
      <w:spacing w:val="5"/>
      <w:u w:val="single"/>
    </w:rPr>
  </w:style>
  <w:style w:type="paragraph" w:styleId="BodyTextIndent2">
    <w:name w:val="Body Text Indent 2"/>
    <w:basedOn w:val="Normal"/>
    <w:qFormat/>
    <w:rsid w:val="0015462c"/>
    <w:pPr>
      <w:spacing w:before="120" w:after="0"/>
      <w:ind w:left="127" w:hanging="0"/>
    </w:pPr>
    <w:rPr>
      <w:rFonts w:cs="Arial"/>
      <w:bCs/>
      <w:sz w:val="22"/>
    </w:rPr>
  </w:style>
  <w:style w:type="paragraph" w:styleId="Default" w:customStyle="1">
    <w:name w:val="Default"/>
    <w:qFormat/>
    <w:rsid w:val="00c61fb6"/>
    <w:pPr>
      <w:keepNext w:val="true"/>
      <w:widowControl/>
      <w:pBdr/>
      <w:suppressAutoHyphens w:val="true"/>
      <w:bidi w:val="0"/>
      <w:spacing w:lineRule="atLeast" w:line="10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eastAsia="en-US" w:val="it-IT" w:bidi="ar-SA"/>
    </w:rPr>
  </w:style>
  <w:style w:type="paragraph" w:styleId="BalloonText">
    <w:name w:val="Balloon Text"/>
    <w:basedOn w:val="Normal"/>
    <w:link w:val="TestofumettoCarattere"/>
    <w:semiHidden/>
    <w:unhideWhenUsed/>
    <w:qFormat/>
    <w:rsid w:val="005568d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a5d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LibreOffice/5.4.3.2$Windows_X86_64 LibreOffice_project/92a7159f7e4af62137622921e809f8546db437e5</Application>
  <Pages>1</Pages>
  <Words>356</Words>
  <Characters>2214</Characters>
  <CharactersWithSpaces>2552</CharactersWithSpaces>
  <Paragraphs>35</Paragraphs>
  <Company>Azienda Ospedaliera Meyer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2023-06-29T08:13:00Z</dcterms:created>
  <dc:creator>.</dc:creator>
  <dc:description/>
  <dc:language>it-IT</dc:language>
  <cp:lastModifiedBy/>
  <cp:lastPrinted>2021-03-12T13:00:00Z</cp:lastPrinted>
  <dcterms:modified xsi:type="dcterms:W3CDTF">2023-07-05T12:45:46Z</dcterms:modified>
  <cp:revision>4</cp:revision>
  <dc:subject/>
  <dc:title>Trasmissione interna				   		    Firenze li, 25 giugno 1998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Azienda Ospedaliera Meyer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