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A69" w:rsidRDefault="007E0A69" w:rsidP="00720E99">
      <w:pPr>
        <w:spacing w:line="360" w:lineRule="auto"/>
        <w:rPr>
          <w:rFonts w:ascii="Tahoma" w:hAnsi="Tahoma" w:cs="Tahoma"/>
          <w:sz w:val="22"/>
          <w:szCs w:val="22"/>
        </w:rPr>
      </w:pPr>
    </w:p>
    <w:p w:rsidR="007E0A69" w:rsidRDefault="007E0A69" w:rsidP="00720E99">
      <w:pPr>
        <w:spacing w:line="360" w:lineRule="auto"/>
        <w:rPr>
          <w:rFonts w:ascii="Tahoma" w:hAnsi="Tahoma" w:cs="Tahoma"/>
          <w:sz w:val="22"/>
          <w:szCs w:val="22"/>
        </w:rPr>
      </w:pPr>
    </w:p>
    <w:p w:rsidR="007E0A69" w:rsidRDefault="007E0A69" w:rsidP="00720E99">
      <w:pPr>
        <w:spacing w:line="360" w:lineRule="auto"/>
        <w:rPr>
          <w:rFonts w:ascii="Tahoma" w:hAnsi="Tahoma" w:cs="Tahoma"/>
          <w:sz w:val="22"/>
          <w:szCs w:val="22"/>
        </w:rPr>
      </w:pPr>
    </w:p>
    <w:p w:rsidR="007E0A69" w:rsidRDefault="007E0A69" w:rsidP="00720E99">
      <w:pPr>
        <w:spacing w:line="360" w:lineRule="auto"/>
        <w:rPr>
          <w:rFonts w:ascii="Tahoma" w:hAnsi="Tahoma" w:cs="Tahoma"/>
          <w:sz w:val="22"/>
          <w:szCs w:val="22"/>
        </w:rPr>
      </w:pPr>
    </w:p>
    <w:p w:rsidR="007E0A69" w:rsidRDefault="007E0A69" w:rsidP="00720E99">
      <w:pPr>
        <w:spacing w:line="360" w:lineRule="auto"/>
        <w:rPr>
          <w:rFonts w:ascii="Tahoma" w:hAnsi="Tahoma" w:cs="Tahoma"/>
          <w:sz w:val="22"/>
          <w:szCs w:val="22"/>
        </w:rPr>
      </w:pPr>
    </w:p>
    <w:p w:rsidR="007E0A69" w:rsidRDefault="007E0A69" w:rsidP="00720E99">
      <w:pPr>
        <w:spacing w:line="360" w:lineRule="auto"/>
        <w:rPr>
          <w:rFonts w:ascii="Tahoma" w:hAnsi="Tahoma" w:cs="Tahoma"/>
          <w:sz w:val="22"/>
          <w:szCs w:val="22"/>
        </w:rPr>
      </w:pPr>
    </w:p>
    <w:p w:rsidR="007E0A69" w:rsidRDefault="007E0A69" w:rsidP="00720E99">
      <w:pPr>
        <w:spacing w:line="360" w:lineRule="auto"/>
        <w:rPr>
          <w:rFonts w:ascii="Tahoma" w:hAnsi="Tahoma" w:cs="Tahoma"/>
          <w:sz w:val="22"/>
          <w:szCs w:val="22"/>
        </w:rPr>
      </w:pPr>
    </w:p>
    <w:p w:rsidR="007E0A69" w:rsidRPr="0011359D" w:rsidRDefault="007E0A69" w:rsidP="00720E99">
      <w:pPr>
        <w:spacing w:line="360" w:lineRule="auto"/>
        <w:rPr>
          <w:rFonts w:ascii="Tahoma" w:hAnsi="Tahoma" w:cs="Tahoma"/>
          <w:sz w:val="22"/>
          <w:szCs w:val="22"/>
        </w:rPr>
      </w:pPr>
    </w:p>
    <w:p w:rsidR="007E0A69" w:rsidRDefault="007E0A69" w:rsidP="00720E99">
      <w:pPr>
        <w:spacing w:line="360" w:lineRule="auto"/>
        <w:rPr>
          <w:rFonts w:ascii="Tahoma" w:hAnsi="Tahoma" w:cs="Tahoma"/>
          <w:sz w:val="22"/>
          <w:szCs w:val="22"/>
        </w:rPr>
      </w:pPr>
    </w:p>
    <w:p w:rsidR="007E0A69" w:rsidRDefault="007E0A69" w:rsidP="00720E99">
      <w:pPr>
        <w:spacing w:line="360" w:lineRule="auto"/>
        <w:rPr>
          <w:rFonts w:ascii="Tahoma" w:hAnsi="Tahoma" w:cs="Tahoma"/>
          <w:sz w:val="22"/>
          <w:szCs w:val="22"/>
        </w:rPr>
      </w:pPr>
    </w:p>
    <w:p w:rsidR="007E0A69" w:rsidRPr="0011359D" w:rsidRDefault="007E0A69" w:rsidP="00720E99">
      <w:pPr>
        <w:spacing w:line="360" w:lineRule="auto"/>
        <w:rPr>
          <w:rFonts w:ascii="Tahoma" w:hAnsi="Tahoma" w:cs="Tahoma"/>
          <w:sz w:val="22"/>
          <w:szCs w:val="22"/>
        </w:rPr>
      </w:pPr>
    </w:p>
    <w:p w:rsidR="007E0A69" w:rsidRDefault="007E0A69" w:rsidP="00720E99">
      <w:pPr>
        <w:spacing w:line="360" w:lineRule="auto"/>
        <w:rPr>
          <w:rFonts w:ascii="Tahoma" w:hAnsi="Tahoma" w:cs="Tahoma"/>
          <w:sz w:val="32"/>
          <w:szCs w:val="32"/>
        </w:rPr>
      </w:pPr>
    </w:p>
    <w:p w:rsidR="007E0A69" w:rsidRPr="00433AAA" w:rsidRDefault="007E0A69" w:rsidP="00720E99">
      <w:pPr>
        <w:spacing w:line="360" w:lineRule="auto"/>
        <w:rPr>
          <w:rFonts w:ascii="Tahoma" w:hAnsi="Tahoma" w:cs="Tahoma"/>
          <w:sz w:val="32"/>
          <w:szCs w:val="32"/>
        </w:rPr>
      </w:pPr>
    </w:p>
    <w:p w:rsidR="007E0A69" w:rsidRDefault="007E0A69" w:rsidP="0003252E">
      <w:pPr>
        <w:spacing w:line="360" w:lineRule="auto"/>
        <w:jc w:val="center"/>
        <w:rPr>
          <w:rFonts w:ascii="Verdana" w:hAnsi="Verdana" w:cs="Tahoma"/>
          <w:sz w:val="28"/>
          <w:szCs w:val="28"/>
        </w:rPr>
      </w:pPr>
      <w:r>
        <w:rPr>
          <w:rFonts w:ascii="Verdana" w:hAnsi="Verdana" w:cs="Tahoma"/>
          <w:sz w:val="28"/>
          <w:szCs w:val="28"/>
        </w:rPr>
        <w:t>Documento per gli indirizzi metodologici di Budget anno 2021 e di valutazione della performance della Dirigenza</w:t>
      </w:r>
    </w:p>
    <w:p w:rsidR="007E0A69" w:rsidRPr="00A73D36" w:rsidRDefault="007E0A69" w:rsidP="00B27329">
      <w:pPr>
        <w:jc w:val="center"/>
        <w:rPr>
          <w:rFonts w:ascii="Tahoma" w:hAnsi="Tahoma" w:cs="Tahoma"/>
          <w:b/>
          <w:color w:val="0000FF"/>
          <w:sz w:val="40"/>
          <w:szCs w:val="40"/>
        </w:rPr>
      </w:pPr>
    </w:p>
    <w:p w:rsidR="007E0A69" w:rsidRPr="00792A65" w:rsidRDefault="007E0A69" w:rsidP="00792A65">
      <w:pPr>
        <w:pStyle w:val="Titolosommario"/>
        <w:ind w:left="284" w:right="565"/>
        <w:rPr>
          <w:rFonts w:ascii="Calibri" w:hAnsi="Calibri"/>
          <w:sz w:val="22"/>
          <w:szCs w:val="22"/>
        </w:rPr>
      </w:pPr>
      <w:r>
        <w:br w:type="page"/>
      </w:r>
      <w:r w:rsidRPr="00792A65">
        <w:rPr>
          <w:rFonts w:ascii="Calibri" w:hAnsi="Calibri"/>
          <w:sz w:val="36"/>
          <w:szCs w:val="22"/>
        </w:rPr>
        <w:lastRenderedPageBreak/>
        <w:t>Sommario</w:t>
      </w:r>
    </w:p>
    <w:p w:rsidR="007E0A69" w:rsidRDefault="008F1481">
      <w:pPr>
        <w:pStyle w:val="Sommario1"/>
        <w:rPr>
          <w:rFonts w:ascii="Times New Roman" w:hAnsi="Times New Roman" w:cs="Times New Roman"/>
          <w:b w:val="0"/>
          <w:bCs w:val="0"/>
          <w:iCs w:val="0"/>
          <w:sz w:val="24"/>
          <w:szCs w:val="24"/>
        </w:rPr>
      </w:pPr>
      <w:r w:rsidRPr="00792A65">
        <w:rPr>
          <w:rFonts w:ascii="Calibri" w:hAnsi="Calibri"/>
          <w:sz w:val="22"/>
          <w:szCs w:val="22"/>
        </w:rPr>
        <w:fldChar w:fldCharType="begin"/>
      </w:r>
      <w:r w:rsidR="007E0A69" w:rsidRPr="00792A65">
        <w:rPr>
          <w:rFonts w:ascii="Calibri" w:hAnsi="Calibri"/>
          <w:sz w:val="22"/>
          <w:szCs w:val="22"/>
        </w:rPr>
        <w:instrText xml:space="preserve"> TOC \o "1-3" \h \z \u </w:instrText>
      </w:r>
      <w:r w:rsidRPr="00792A65">
        <w:rPr>
          <w:rFonts w:ascii="Calibri" w:hAnsi="Calibri"/>
          <w:sz w:val="22"/>
          <w:szCs w:val="22"/>
        </w:rPr>
        <w:fldChar w:fldCharType="separate"/>
      </w:r>
      <w:hyperlink w:anchor="_Toc72510510" w:history="1">
        <w:r w:rsidR="007E0A69" w:rsidRPr="00904E93">
          <w:rPr>
            <w:rStyle w:val="Collegamentoipertestuale"/>
            <w:rFonts w:ascii="Calibri" w:hAnsi="Calibri"/>
            <w:caps/>
          </w:rPr>
          <w:t>1.</w:t>
        </w:r>
        <w:r w:rsidR="007E0A69">
          <w:rPr>
            <w:rFonts w:ascii="Times New Roman" w:hAnsi="Times New Roman" w:cs="Times New Roman"/>
            <w:b w:val="0"/>
            <w:bCs w:val="0"/>
            <w:iCs w:val="0"/>
            <w:sz w:val="24"/>
            <w:szCs w:val="24"/>
          </w:rPr>
          <w:tab/>
        </w:r>
        <w:r w:rsidR="007E0A69" w:rsidRPr="00904E93">
          <w:rPr>
            <w:rStyle w:val="Collegamentoipertestuale"/>
            <w:rFonts w:ascii="Calibri" w:hAnsi="Calibri"/>
            <w:caps/>
          </w:rPr>
          <w:t>Introduzione</w:t>
        </w:r>
        <w:r w:rsidR="007E0A69">
          <w:rPr>
            <w:webHidden/>
          </w:rPr>
          <w:tab/>
        </w:r>
        <w:r>
          <w:rPr>
            <w:webHidden/>
          </w:rPr>
          <w:fldChar w:fldCharType="begin"/>
        </w:r>
        <w:r w:rsidR="007E0A69">
          <w:rPr>
            <w:webHidden/>
          </w:rPr>
          <w:instrText xml:space="preserve"> PAGEREF _Toc72510510 \h </w:instrText>
        </w:r>
        <w:r>
          <w:rPr>
            <w:webHidden/>
          </w:rPr>
        </w:r>
        <w:r>
          <w:rPr>
            <w:webHidden/>
          </w:rPr>
          <w:fldChar w:fldCharType="separate"/>
        </w:r>
        <w:r w:rsidR="008E1F4E">
          <w:rPr>
            <w:webHidden/>
          </w:rPr>
          <w:t>3</w:t>
        </w:r>
        <w:r>
          <w:rPr>
            <w:webHidden/>
          </w:rPr>
          <w:fldChar w:fldCharType="end"/>
        </w:r>
      </w:hyperlink>
    </w:p>
    <w:p w:rsidR="007E0A69" w:rsidRDefault="00F3040A">
      <w:pPr>
        <w:pStyle w:val="Sommario1"/>
        <w:rPr>
          <w:rFonts w:ascii="Times New Roman" w:hAnsi="Times New Roman" w:cs="Times New Roman"/>
          <w:b w:val="0"/>
          <w:bCs w:val="0"/>
          <w:iCs w:val="0"/>
          <w:sz w:val="24"/>
          <w:szCs w:val="24"/>
        </w:rPr>
      </w:pPr>
      <w:hyperlink w:anchor="_Toc72510511" w:history="1">
        <w:r w:rsidR="007E0A69" w:rsidRPr="00904E93">
          <w:rPr>
            <w:rStyle w:val="Collegamentoipertestuale"/>
            <w:rFonts w:ascii="Calibri" w:hAnsi="Calibri"/>
          </w:rPr>
          <w:t>2.</w:t>
        </w:r>
        <w:r w:rsidR="007E0A69">
          <w:rPr>
            <w:rFonts w:ascii="Times New Roman" w:hAnsi="Times New Roman" w:cs="Times New Roman"/>
            <w:b w:val="0"/>
            <w:bCs w:val="0"/>
            <w:iCs w:val="0"/>
            <w:sz w:val="24"/>
            <w:szCs w:val="24"/>
          </w:rPr>
          <w:tab/>
        </w:r>
        <w:r w:rsidR="007E0A69" w:rsidRPr="00904E93">
          <w:rPr>
            <w:rStyle w:val="Collegamentoipertestuale"/>
            <w:rFonts w:ascii="Calibri" w:hAnsi="Calibri"/>
            <w:caps/>
          </w:rPr>
          <w:t>Scopo</w:t>
        </w:r>
        <w:r w:rsidR="007E0A69">
          <w:rPr>
            <w:webHidden/>
          </w:rPr>
          <w:tab/>
        </w:r>
        <w:r w:rsidR="008F1481">
          <w:rPr>
            <w:webHidden/>
          </w:rPr>
          <w:fldChar w:fldCharType="begin"/>
        </w:r>
        <w:r w:rsidR="007E0A69">
          <w:rPr>
            <w:webHidden/>
          </w:rPr>
          <w:instrText xml:space="preserve"> PAGEREF _Toc72510511 \h </w:instrText>
        </w:r>
        <w:r w:rsidR="008F1481">
          <w:rPr>
            <w:webHidden/>
          </w:rPr>
        </w:r>
        <w:r w:rsidR="008F1481">
          <w:rPr>
            <w:webHidden/>
          </w:rPr>
          <w:fldChar w:fldCharType="separate"/>
        </w:r>
        <w:r w:rsidR="008E1F4E">
          <w:rPr>
            <w:webHidden/>
          </w:rPr>
          <w:t>3</w:t>
        </w:r>
        <w:r w:rsidR="008F1481">
          <w:rPr>
            <w:webHidden/>
          </w:rPr>
          <w:fldChar w:fldCharType="end"/>
        </w:r>
      </w:hyperlink>
    </w:p>
    <w:p w:rsidR="007E0A69" w:rsidRDefault="00F3040A">
      <w:pPr>
        <w:pStyle w:val="Sommario1"/>
        <w:rPr>
          <w:rFonts w:ascii="Times New Roman" w:hAnsi="Times New Roman" w:cs="Times New Roman"/>
          <w:b w:val="0"/>
          <w:bCs w:val="0"/>
          <w:iCs w:val="0"/>
          <w:sz w:val="24"/>
          <w:szCs w:val="24"/>
        </w:rPr>
      </w:pPr>
      <w:hyperlink w:anchor="_Toc72510512" w:history="1">
        <w:r w:rsidR="007E0A69" w:rsidRPr="00904E93">
          <w:rPr>
            <w:rStyle w:val="Collegamentoipertestuale"/>
            <w:rFonts w:ascii="Calibri" w:hAnsi="Calibri"/>
            <w:caps/>
          </w:rPr>
          <w:t>3.</w:t>
        </w:r>
        <w:r w:rsidR="007E0A69">
          <w:rPr>
            <w:rFonts w:ascii="Times New Roman" w:hAnsi="Times New Roman" w:cs="Times New Roman"/>
            <w:b w:val="0"/>
            <w:bCs w:val="0"/>
            <w:iCs w:val="0"/>
            <w:sz w:val="24"/>
            <w:szCs w:val="24"/>
          </w:rPr>
          <w:tab/>
        </w:r>
        <w:r w:rsidR="007E0A69" w:rsidRPr="00904E93">
          <w:rPr>
            <w:rStyle w:val="Collegamentoipertestuale"/>
            <w:rFonts w:ascii="Calibri" w:hAnsi="Calibri"/>
            <w:caps/>
          </w:rPr>
          <w:t>Definizioni</w:t>
        </w:r>
        <w:r w:rsidR="007E0A69">
          <w:rPr>
            <w:webHidden/>
          </w:rPr>
          <w:tab/>
        </w:r>
        <w:r w:rsidR="008F1481">
          <w:rPr>
            <w:webHidden/>
          </w:rPr>
          <w:fldChar w:fldCharType="begin"/>
        </w:r>
        <w:r w:rsidR="007E0A69">
          <w:rPr>
            <w:webHidden/>
          </w:rPr>
          <w:instrText xml:space="preserve"> PAGEREF _Toc72510512 \h </w:instrText>
        </w:r>
        <w:r w:rsidR="008F1481">
          <w:rPr>
            <w:webHidden/>
          </w:rPr>
        </w:r>
        <w:r w:rsidR="008F1481">
          <w:rPr>
            <w:webHidden/>
          </w:rPr>
          <w:fldChar w:fldCharType="separate"/>
        </w:r>
        <w:r w:rsidR="008E1F4E">
          <w:rPr>
            <w:webHidden/>
          </w:rPr>
          <w:t>4</w:t>
        </w:r>
        <w:r w:rsidR="008F1481">
          <w:rPr>
            <w:webHidden/>
          </w:rPr>
          <w:fldChar w:fldCharType="end"/>
        </w:r>
      </w:hyperlink>
    </w:p>
    <w:p w:rsidR="007E0A69" w:rsidRDefault="00F3040A">
      <w:pPr>
        <w:pStyle w:val="Sommario1"/>
        <w:rPr>
          <w:rFonts w:ascii="Times New Roman" w:hAnsi="Times New Roman" w:cs="Times New Roman"/>
          <w:b w:val="0"/>
          <w:bCs w:val="0"/>
          <w:iCs w:val="0"/>
          <w:sz w:val="24"/>
          <w:szCs w:val="24"/>
        </w:rPr>
      </w:pPr>
      <w:hyperlink w:anchor="_Toc72510513" w:history="1">
        <w:r w:rsidR="007E0A69" w:rsidRPr="00904E93">
          <w:rPr>
            <w:rStyle w:val="Collegamentoipertestuale"/>
            <w:rFonts w:ascii="Calibri" w:hAnsi="Calibri"/>
            <w:caps/>
          </w:rPr>
          <w:t>4.</w:t>
        </w:r>
        <w:r w:rsidR="007E0A69">
          <w:rPr>
            <w:rFonts w:ascii="Times New Roman" w:hAnsi="Times New Roman" w:cs="Times New Roman"/>
            <w:b w:val="0"/>
            <w:bCs w:val="0"/>
            <w:iCs w:val="0"/>
            <w:sz w:val="24"/>
            <w:szCs w:val="24"/>
          </w:rPr>
          <w:tab/>
        </w:r>
        <w:r w:rsidR="007E0A69" w:rsidRPr="00904E93">
          <w:rPr>
            <w:rStyle w:val="Collegamentoipertestuale"/>
            <w:rFonts w:ascii="Calibri" w:hAnsi="Calibri"/>
            <w:caps/>
          </w:rPr>
          <w:t>Campo di applicazione</w:t>
        </w:r>
        <w:r w:rsidR="007E0A69">
          <w:rPr>
            <w:webHidden/>
          </w:rPr>
          <w:tab/>
        </w:r>
        <w:r w:rsidR="008F1481">
          <w:rPr>
            <w:webHidden/>
          </w:rPr>
          <w:fldChar w:fldCharType="begin"/>
        </w:r>
        <w:r w:rsidR="007E0A69">
          <w:rPr>
            <w:webHidden/>
          </w:rPr>
          <w:instrText xml:space="preserve"> PAGEREF _Toc72510513 \h </w:instrText>
        </w:r>
        <w:r w:rsidR="008F1481">
          <w:rPr>
            <w:webHidden/>
          </w:rPr>
        </w:r>
        <w:r w:rsidR="008F1481">
          <w:rPr>
            <w:webHidden/>
          </w:rPr>
          <w:fldChar w:fldCharType="separate"/>
        </w:r>
        <w:r w:rsidR="008E1F4E">
          <w:rPr>
            <w:webHidden/>
          </w:rPr>
          <w:t>5</w:t>
        </w:r>
        <w:r w:rsidR="008F1481">
          <w:rPr>
            <w:webHidden/>
          </w:rPr>
          <w:fldChar w:fldCharType="end"/>
        </w:r>
      </w:hyperlink>
    </w:p>
    <w:p w:rsidR="007E0A69" w:rsidRDefault="00F3040A">
      <w:pPr>
        <w:pStyle w:val="Sommario1"/>
        <w:rPr>
          <w:rFonts w:ascii="Times New Roman" w:hAnsi="Times New Roman" w:cs="Times New Roman"/>
          <w:b w:val="0"/>
          <w:bCs w:val="0"/>
          <w:iCs w:val="0"/>
          <w:sz w:val="24"/>
          <w:szCs w:val="24"/>
        </w:rPr>
      </w:pPr>
      <w:hyperlink w:anchor="_Toc72510514" w:history="1">
        <w:r w:rsidR="007E0A69" w:rsidRPr="00904E93">
          <w:rPr>
            <w:rStyle w:val="Collegamentoipertestuale"/>
            <w:rFonts w:ascii="Calibri" w:hAnsi="Calibri"/>
            <w:caps/>
          </w:rPr>
          <w:t>5.</w:t>
        </w:r>
        <w:r w:rsidR="007E0A69">
          <w:rPr>
            <w:rFonts w:ascii="Times New Roman" w:hAnsi="Times New Roman" w:cs="Times New Roman"/>
            <w:b w:val="0"/>
            <w:bCs w:val="0"/>
            <w:iCs w:val="0"/>
            <w:sz w:val="24"/>
            <w:szCs w:val="24"/>
          </w:rPr>
          <w:tab/>
        </w:r>
        <w:r w:rsidR="007E0A69" w:rsidRPr="00904E93">
          <w:rPr>
            <w:rStyle w:val="Collegamentoipertestuale"/>
            <w:rFonts w:ascii="Calibri" w:hAnsi="Calibri"/>
            <w:caps/>
          </w:rPr>
          <w:t>Responsabilità</w:t>
        </w:r>
        <w:r w:rsidR="007E0A69">
          <w:rPr>
            <w:webHidden/>
          </w:rPr>
          <w:tab/>
        </w:r>
        <w:r w:rsidR="008F1481">
          <w:rPr>
            <w:webHidden/>
          </w:rPr>
          <w:fldChar w:fldCharType="begin"/>
        </w:r>
        <w:r w:rsidR="007E0A69">
          <w:rPr>
            <w:webHidden/>
          </w:rPr>
          <w:instrText xml:space="preserve"> PAGEREF _Toc72510514 \h </w:instrText>
        </w:r>
        <w:r w:rsidR="008F1481">
          <w:rPr>
            <w:webHidden/>
          </w:rPr>
        </w:r>
        <w:r w:rsidR="008F1481">
          <w:rPr>
            <w:webHidden/>
          </w:rPr>
          <w:fldChar w:fldCharType="separate"/>
        </w:r>
        <w:r w:rsidR="008E1F4E">
          <w:rPr>
            <w:webHidden/>
          </w:rPr>
          <w:t>5</w:t>
        </w:r>
        <w:r w:rsidR="008F1481">
          <w:rPr>
            <w:webHidden/>
          </w:rPr>
          <w:fldChar w:fldCharType="end"/>
        </w:r>
      </w:hyperlink>
    </w:p>
    <w:p w:rsidR="007E0A69" w:rsidRDefault="00F3040A">
      <w:pPr>
        <w:pStyle w:val="Sommario1"/>
        <w:rPr>
          <w:rFonts w:ascii="Times New Roman" w:hAnsi="Times New Roman" w:cs="Times New Roman"/>
          <w:b w:val="0"/>
          <w:bCs w:val="0"/>
          <w:iCs w:val="0"/>
          <w:sz w:val="24"/>
          <w:szCs w:val="24"/>
        </w:rPr>
      </w:pPr>
      <w:hyperlink w:anchor="_Toc72510515" w:history="1">
        <w:r w:rsidR="007E0A69" w:rsidRPr="00904E93">
          <w:rPr>
            <w:rStyle w:val="Collegamentoipertestuale"/>
            <w:rFonts w:ascii="Calibri" w:hAnsi="Calibri"/>
            <w:caps/>
          </w:rPr>
          <w:t>6.</w:t>
        </w:r>
        <w:r w:rsidR="007E0A69">
          <w:rPr>
            <w:rFonts w:ascii="Times New Roman" w:hAnsi="Times New Roman" w:cs="Times New Roman"/>
            <w:b w:val="0"/>
            <w:bCs w:val="0"/>
            <w:iCs w:val="0"/>
            <w:sz w:val="24"/>
            <w:szCs w:val="24"/>
          </w:rPr>
          <w:tab/>
        </w:r>
        <w:r w:rsidR="007E0A69" w:rsidRPr="00904E93">
          <w:rPr>
            <w:rStyle w:val="Collegamentoipertestuale"/>
            <w:rFonts w:ascii="Calibri" w:hAnsi="Calibri"/>
            <w:caps/>
          </w:rPr>
          <w:t>Le fasi del processo di Budget</w:t>
        </w:r>
        <w:r w:rsidR="007E0A69">
          <w:rPr>
            <w:webHidden/>
          </w:rPr>
          <w:tab/>
        </w:r>
        <w:r w:rsidR="008F1481">
          <w:rPr>
            <w:webHidden/>
          </w:rPr>
          <w:fldChar w:fldCharType="begin"/>
        </w:r>
        <w:r w:rsidR="007E0A69">
          <w:rPr>
            <w:webHidden/>
          </w:rPr>
          <w:instrText xml:space="preserve"> PAGEREF _Toc72510515 \h </w:instrText>
        </w:r>
        <w:r w:rsidR="008F1481">
          <w:rPr>
            <w:webHidden/>
          </w:rPr>
        </w:r>
        <w:r w:rsidR="008F1481">
          <w:rPr>
            <w:webHidden/>
          </w:rPr>
          <w:fldChar w:fldCharType="separate"/>
        </w:r>
        <w:r w:rsidR="008E1F4E">
          <w:rPr>
            <w:webHidden/>
          </w:rPr>
          <w:t>7</w:t>
        </w:r>
        <w:r w:rsidR="008F1481">
          <w:rPr>
            <w:webHidden/>
          </w:rPr>
          <w:fldChar w:fldCharType="end"/>
        </w:r>
      </w:hyperlink>
    </w:p>
    <w:p w:rsidR="007E0A69" w:rsidRDefault="00F3040A">
      <w:pPr>
        <w:pStyle w:val="Sommario1"/>
        <w:rPr>
          <w:rFonts w:ascii="Times New Roman" w:hAnsi="Times New Roman" w:cs="Times New Roman"/>
          <w:b w:val="0"/>
          <w:bCs w:val="0"/>
          <w:iCs w:val="0"/>
          <w:sz w:val="24"/>
          <w:szCs w:val="24"/>
        </w:rPr>
      </w:pPr>
      <w:hyperlink w:anchor="_Toc72510516" w:history="1">
        <w:r w:rsidR="007E0A69" w:rsidRPr="00904E93">
          <w:rPr>
            <w:rStyle w:val="Collegamentoipertestuale"/>
            <w:rFonts w:ascii="Calibri" w:hAnsi="Calibri"/>
          </w:rPr>
          <w:t>7.</w:t>
        </w:r>
        <w:r w:rsidR="007E0A69">
          <w:rPr>
            <w:rFonts w:ascii="Times New Roman" w:hAnsi="Times New Roman" w:cs="Times New Roman"/>
            <w:b w:val="0"/>
            <w:bCs w:val="0"/>
            <w:iCs w:val="0"/>
            <w:sz w:val="24"/>
            <w:szCs w:val="24"/>
          </w:rPr>
          <w:tab/>
        </w:r>
        <w:r w:rsidR="007E0A69" w:rsidRPr="00904E93">
          <w:rPr>
            <w:rStyle w:val="Collegamentoipertestuale"/>
            <w:rFonts w:ascii="Calibri" w:hAnsi="Calibri"/>
            <w:caps/>
          </w:rPr>
          <w:t xml:space="preserve">Il documento </w:t>
        </w:r>
        <w:r w:rsidR="007E0A69" w:rsidRPr="00904E93">
          <w:rPr>
            <w:rStyle w:val="Collegamentoipertestuale"/>
            <w:rFonts w:ascii="Calibri" w:hAnsi="Calibri"/>
          </w:rPr>
          <w:t>di</w:t>
        </w:r>
        <w:r w:rsidR="007E0A69" w:rsidRPr="00904E93">
          <w:rPr>
            <w:rStyle w:val="Collegamentoipertestuale"/>
            <w:rFonts w:ascii="Calibri" w:hAnsi="Calibri"/>
            <w:caps/>
          </w:rPr>
          <w:t xml:space="preserve"> Budget</w:t>
        </w:r>
        <w:r w:rsidR="007E0A69">
          <w:rPr>
            <w:webHidden/>
          </w:rPr>
          <w:tab/>
        </w:r>
        <w:r w:rsidR="008F1481">
          <w:rPr>
            <w:webHidden/>
          </w:rPr>
          <w:fldChar w:fldCharType="begin"/>
        </w:r>
        <w:r w:rsidR="007E0A69">
          <w:rPr>
            <w:webHidden/>
          </w:rPr>
          <w:instrText xml:space="preserve"> PAGEREF _Toc72510516 \h </w:instrText>
        </w:r>
        <w:r w:rsidR="008F1481">
          <w:rPr>
            <w:webHidden/>
          </w:rPr>
        </w:r>
        <w:r w:rsidR="008F1481">
          <w:rPr>
            <w:webHidden/>
          </w:rPr>
          <w:fldChar w:fldCharType="separate"/>
        </w:r>
        <w:r w:rsidR="008E1F4E">
          <w:rPr>
            <w:webHidden/>
          </w:rPr>
          <w:t>10</w:t>
        </w:r>
        <w:r w:rsidR="008F1481">
          <w:rPr>
            <w:webHidden/>
          </w:rPr>
          <w:fldChar w:fldCharType="end"/>
        </w:r>
      </w:hyperlink>
    </w:p>
    <w:p w:rsidR="007E0A69" w:rsidRDefault="00F3040A">
      <w:pPr>
        <w:pStyle w:val="Sommario2"/>
        <w:rPr>
          <w:rFonts w:ascii="Times New Roman" w:hAnsi="Times New Roman" w:cs="Times New Roman"/>
          <w:b w:val="0"/>
          <w:bCs w:val="0"/>
          <w:sz w:val="24"/>
          <w:szCs w:val="24"/>
        </w:rPr>
      </w:pPr>
      <w:hyperlink w:anchor="_Toc72510517" w:history="1">
        <w:r w:rsidR="007E0A69" w:rsidRPr="00904E93">
          <w:rPr>
            <w:rStyle w:val="Collegamentoipertestuale"/>
            <w:rFonts w:ascii="Calibri" w:hAnsi="Calibri" w:cs="Tahoma"/>
          </w:rPr>
          <w:t>7.1 OBIETTIVI ECONOMICI - SCHEDA A</w:t>
        </w:r>
        <w:r w:rsidR="007E0A69">
          <w:rPr>
            <w:webHidden/>
          </w:rPr>
          <w:tab/>
        </w:r>
        <w:r w:rsidR="008F1481">
          <w:rPr>
            <w:webHidden/>
          </w:rPr>
          <w:fldChar w:fldCharType="begin"/>
        </w:r>
        <w:r w:rsidR="007E0A69">
          <w:rPr>
            <w:webHidden/>
          </w:rPr>
          <w:instrText xml:space="preserve"> PAGEREF _Toc72510517 \h </w:instrText>
        </w:r>
        <w:r w:rsidR="008F1481">
          <w:rPr>
            <w:webHidden/>
          </w:rPr>
        </w:r>
        <w:r w:rsidR="008F1481">
          <w:rPr>
            <w:webHidden/>
          </w:rPr>
          <w:fldChar w:fldCharType="separate"/>
        </w:r>
        <w:r w:rsidR="008E1F4E">
          <w:rPr>
            <w:webHidden/>
          </w:rPr>
          <w:t>10</w:t>
        </w:r>
        <w:r w:rsidR="008F1481">
          <w:rPr>
            <w:webHidden/>
          </w:rPr>
          <w:fldChar w:fldCharType="end"/>
        </w:r>
      </w:hyperlink>
    </w:p>
    <w:p w:rsidR="007E0A69" w:rsidRDefault="00F3040A">
      <w:pPr>
        <w:pStyle w:val="Sommario2"/>
        <w:rPr>
          <w:rFonts w:ascii="Times New Roman" w:hAnsi="Times New Roman" w:cs="Times New Roman"/>
          <w:b w:val="0"/>
          <w:bCs w:val="0"/>
          <w:sz w:val="24"/>
          <w:szCs w:val="24"/>
        </w:rPr>
      </w:pPr>
      <w:hyperlink w:anchor="_Toc72510518" w:history="1">
        <w:r w:rsidR="007E0A69" w:rsidRPr="00904E93">
          <w:rPr>
            <w:rStyle w:val="Collegamentoipertestuale"/>
            <w:rFonts w:ascii="Calibri" w:hAnsi="Calibri" w:cs="Tahoma"/>
          </w:rPr>
          <w:t xml:space="preserve">7.2 OBIETTIVI </w:t>
        </w:r>
        <w:r w:rsidR="007E0A69" w:rsidRPr="00904E93">
          <w:rPr>
            <w:rStyle w:val="Collegamentoipertestuale"/>
            <w:rFonts w:ascii="Calibri" w:hAnsi="Calibri"/>
          </w:rPr>
          <w:t>DI</w:t>
        </w:r>
        <w:r w:rsidR="007E0A69" w:rsidRPr="00904E93">
          <w:rPr>
            <w:rStyle w:val="Collegamentoipertestuale"/>
            <w:rFonts w:ascii="Calibri" w:hAnsi="Calibri" w:cs="Tahoma"/>
          </w:rPr>
          <w:t xml:space="preserve"> ATTIVITA’ - SCHEDA B</w:t>
        </w:r>
        <w:r w:rsidR="007E0A69">
          <w:rPr>
            <w:webHidden/>
          </w:rPr>
          <w:tab/>
        </w:r>
        <w:r w:rsidR="008F1481">
          <w:rPr>
            <w:webHidden/>
          </w:rPr>
          <w:fldChar w:fldCharType="begin"/>
        </w:r>
        <w:r w:rsidR="007E0A69">
          <w:rPr>
            <w:webHidden/>
          </w:rPr>
          <w:instrText xml:space="preserve"> PAGEREF _Toc72510518 \h </w:instrText>
        </w:r>
        <w:r w:rsidR="008F1481">
          <w:rPr>
            <w:webHidden/>
          </w:rPr>
        </w:r>
        <w:r w:rsidR="008F1481">
          <w:rPr>
            <w:webHidden/>
          </w:rPr>
          <w:fldChar w:fldCharType="separate"/>
        </w:r>
        <w:r w:rsidR="008E1F4E">
          <w:rPr>
            <w:webHidden/>
          </w:rPr>
          <w:t>13</w:t>
        </w:r>
        <w:r w:rsidR="008F1481">
          <w:rPr>
            <w:webHidden/>
          </w:rPr>
          <w:fldChar w:fldCharType="end"/>
        </w:r>
      </w:hyperlink>
    </w:p>
    <w:p w:rsidR="007E0A69" w:rsidRDefault="00F3040A">
      <w:pPr>
        <w:pStyle w:val="Sommario1"/>
        <w:rPr>
          <w:rFonts w:ascii="Times New Roman" w:hAnsi="Times New Roman" w:cs="Times New Roman"/>
          <w:b w:val="0"/>
          <w:bCs w:val="0"/>
          <w:iCs w:val="0"/>
          <w:sz w:val="24"/>
          <w:szCs w:val="24"/>
        </w:rPr>
      </w:pPr>
      <w:hyperlink w:anchor="_Toc72510520" w:history="1">
        <w:r w:rsidR="007E0A69" w:rsidRPr="00904E93">
          <w:rPr>
            <w:rStyle w:val="Collegamentoipertestuale"/>
            <w:rFonts w:ascii="Calibri" w:hAnsi="Calibri"/>
          </w:rPr>
          <w:t>8.</w:t>
        </w:r>
        <w:r w:rsidR="007E0A69">
          <w:rPr>
            <w:rFonts w:ascii="Times New Roman" w:hAnsi="Times New Roman" w:cs="Times New Roman"/>
            <w:b w:val="0"/>
            <w:bCs w:val="0"/>
            <w:iCs w:val="0"/>
            <w:sz w:val="24"/>
            <w:szCs w:val="24"/>
          </w:rPr>
          <w:tab/>
        </w:r>
        <w:r w:rsidR="007E0A69" w:rsidRPr="00904E93">
          <w:rPr>
            <w:rStyle w:val="Collegamentoipertestuale"/>
            <w:rFonts w:ascii="Calibri" w:hAnsi="Calibri"/>
          </w:rPr>
          <w:t>Pubblicazione Schede Budget e Reportistica</w:t>
        </w:r>
        <w:r w:rsidR="007E0A69">
          <w:rPr>
            <w:webHidden/>
          </w:rPr>
          <w:tab/>
        </w:r>
        <w:r w:rsidR="008F1481">
          <w:rPr>
            <w:webHidden/>
          </w:rPr>
          <w:fldChar w:fldCharType="begin"/>
        </w:r>
        <w:r w:rsidR="007E0A69">
          <w:rPr>
            <w:webHidden/>
          </w:rPr>
          <w:instrText xml:space="preserve"> PAGEREF _Toc72510520 \h </w:instrText>
        </w:r>
        <w:r w:rsidR="008F1481">
          <w:rPr>
            <w:webHidden/>
          </w:rPr>
        </w:r>
        <w:r w:rsidR="008F1481">
          <w:rPr>
            <w:webHidden/>
          </w:rPr>
          <w:fldChar w:fldCharType="separate"/>
        </w:r>
        <w:r w:rsidR="008E1F4E">
          <w:rPr>
            <w:webHidden/>
          </w:rPr>
          <w:t>16</w:t>
        </w:r>
        <w:r w:rsidR="008F1481">
          <w:rPr>
            <w:webHidden/>
          </w:rPr>
          <w:fldChar w:fldCharType="end"/>
        </w:r>
      </w:hyperlink>
    </w:p>
    <w:p w:rsidR="007E0A69" w:rsidRDefault="00F3040A">
      <w:pPr>
        <w:pStyle w:val="Sommario1"/>
        <w:rPr>
          <w:rFonts w:ascii="Times New Roman" w:hAnsi="Times New Roman" w:cs="Times New Roman"/>
          <w:b w:val="0"/>
          <w:bCs w:val="0"/>
          <w:iCs w:val="0"/>
          <w:sz w:val="24"/>
          <w:szCs w:val="24"/>
        </w:rPr>
      </w:pPr>
      <w:hyperlink w:anchor="_Toc72510521" w:history="1">
        <w:r w:rsidR="007E0A69" w:rsidRPr="00904E93">
          <w:rPr>
            <w:rStyle w:val="Collegamentoipertestuale"/>
            <w:rFonts w:ascii="Calibri" w:hAnsi="Calibri"/>
          </w:rPr>
          <w:t>9.</w:t>
        </w:r>
        <w:r w:rsidR="007E0A69">
          <w:rPr>
            <w:rFonts w:ascii="Times New Roman" w:hAnsi="Times New Roman" w:cs="Times New Roman"/>
            <w:b w:val="0"/>
            <w:bCs w:val="0"/>
            <w:iCs w:val="0"/>
            <w:sz w:val="24"/>
            <w:szCs w:val="24"/>
          </w:rPr>
          <w:tab/>
        </w:r>
        <w:r w:rsidR="007E0A69" w:rsidRPr="00904E93">
          <w:rPr>
            <w:rStyle w:val="Collegamentoipertestuale"/>
            <w:rFonts w:ascii="Calibri" w:hAnsi="Calibri"/>
          </w:rPr>
          <w:t>Documenti di riferimento</w:t>
        </w:r>
        <w:r w:rsidR="007E0A69">
          <w:rPr>
            <w:webHidden/>
          </w:rPr>
          <w:tab/>
        </w:r>
        <w:r w:rsidR="008F1481">
          <w:rPr>
            <w:webHidden/>
          </w:rPr>
          <w:fldChar w:fldCharType="begin"/>
        </w:r>
        <w:r w:rsidR="007E0A69">
          <w:rPr>
            <w:webHidden/>
          </w:rPr>
          <w:instrText xml:space="preserve"> PAGEREF _Toc72510521 \h </w:instrText>
        </w:r>
        <w:r w:rsidR="008F1481">
          <w:rPr>
            <w:webHidden/>
          </w:rPr>
        </w:r>
        <w:r w:rsidR="008F1481">
          <w:rPr>
            <w:webHidden/>
          </w:rPr>
          <w:fldChar w:fldCharType="separate"/>
        </w:r>
        <w:r w:rsidR="008E1F4E">
          <w:rPr>
            <w:webHidden/>
          </w:rPr>
          <w:t>16</w:t>
        </w:r>
        <w:r w:rsidR="008F1481">
          <w:rPr>
            <w:webHidden/>
          </w:rPr>
          <w:fldChar w:fldCharType="end"/>
        </w:r>
      </w:hyperlink>
    </w:p>
    <w:p w:rsidR="007E0A69" w:rsidRPr="00792A65" w:rsidRDefault="008F1481" w:rsidP="00792A65">
      <w:pPr>
        <w:ind w:left="284" w:right="565"/>
        <w:rPr>
          <w:rFonts w:ascii="Calibri" w:hAnsi="Calibri"/>
          <w:b/>
          <w:bCs/>
          <w:sz w:val="22"/>
          <w:szCs w:val="22"/>
        </w:rPr>
      </w:pPr>
      <w:r w:rsidRPr="00792A65">
        <w:rPr>
          <w:rFonts w:ascii="Calibri" w:hAnsi="Calibri"/>
          <w:sz w:val="22"/>
          <w:szCs w:val="22"/>
        </w:rPr>
        <w:fldChar w:fldCharType="end"/>
      </w:r>
    </w:p>
    <w:p w:rsidR="007E0A69" w:rsidRDefault="007E0A69" w:rsidP="00AD7080">
      <w:pPr>
        <w:spacing w:line="360" w:lineRule="auto"/>
        <w:ind w:left="284" w:right="-56"/>
        <w:rPr>
          <w:rFonts w:ascii="Calibri" w:hAnsi="Calibri"/>
          <w:bCs/>
        </w:rPr>
      </w:pPr>
    </w:p>
    <w:p w:rsidR="007E0A69" w:rsidRPr="00364A12" w:rsidRDefault="007E0A69" w:rsidP="00AD7080">
      <w:pPr>
        <w:spacing w:line="360" w:lineRule="auto"/>
        <w:ind w:left="284" w:right="-56"/>
        <w:rPr>
          <w:rFonts w:ascii="Calibri" w:hAnsi="Calibri"/>
          <w:bCs/>
        </w:rPr>
      </w:pPr>
      <w:r w:rsidRPr="00364A12">
        <w:rPr>
          <w:rFonts w:ascii="Calibri" w:hAnsi="Calibri"/>
          <w:bCs/>
        </w:rPr>
        <w:t xml:space="preserve">In quest’anno caratterizzato dalla pandemia di SARS COV 2 si introduce, in forma provvisoria e sperimentale, la metodologia per la negoziazione, attribuzione,e  valutazione degli obiettivi di budget, a differenza del passato, estrapolandolo dai  documenti sulle performance. </w:t>
      </w:r>
    </w:p>
    <w:p w:rsidR="007E0A69" w:rsidRDefault="007E0A69" w:rsidP="00AD7080">
      <w:pPr>
        <w:spacing w:line="360" w:lineRule="auto"/>
        <w:ind w:left="284" w:right="-56"/>
        <w:rPr>
          <w:rFonts w:ascii="Calibri" w:hAnsi="Calibri"/>
          <w:bCs/>
        </w:rPr>
      </w:pPr>
    </w:p>
    <w:p w:rsidR="007E0A69" w:rsidRPr="00AD7080" w:rsidRDefault="007E0A69" w:rsidP="00AD7080">
      <w:pPr>
        <w:spacing w:line="360" w:lineRule="auto"/>
        <w:ind w:left="284" w:right="-56"/>
        <w:rPr>
          <w:rFonts w:ascii="Calibri" w:hAnsi="Calibri"/>
        </w:rPr>
      </w:pPr>
      <w:r w:rsidRPr="00364A12">
        <w:rPr>
          <w:rFonts w:ascii="Calibri" w:hAnsi="Calibri"/>
          <w:bCs/>
        </w:rPr>
        <w:t>L’elaborazione di un documento organico ed esaustivo richiede la stabilizzazione del contesto organizzativo fortemente perturbato dalla situazione contingente.</w:t>
      </w:r>
      <w:r w:rsidRPr="00AD7080">
        <w:rPr>
          <w:rFonts w:ascii="Calibri" w:hAnsi="Calibri"/>
          <w:bCs/>
        </w:rPr>
        <w:br w:type="page"/>
      </w:r>
    </w:p>
    <w:p w:rsidR="007E0A69" w:rsidRPr="00792A65" w:rsidRDefault="007E0A69" w:rsidP="00BD2B7B">
      <w:pPr>
        <w:pStyle w:val="Titolo1"/>
        <w:numPr>
          <w:ilvl w:val="0"/>
          <w:numId w:val="5"/>
        </w:numPr>
        <w:ind w:left="284" w:right="565"/>
        <w:rPr>
          <w:rFonts w:ascii="Calibri" w:hAnsi="Calibri"/>
          <w:caps/>
          <w:sz w:val="22"/>
          <w:szCs w:val="22"/>
        </w:rPr>
      </w:pPr>
      <w:bookmarkStart w:id="0" w:name="_Toc72510510"/>
      <w:r w:rsidRPr="00792A65">
        <w:rPr>
          <w:rFonts w:ascii="Calibri" w:hAnsi="Calibri"/>
          <w:caps/>
          <w:sz w:val="22"/>
          <w:szCs w:val="22"/>
        </w:rPr>
        <w:lastRenderedPageBreak/>
        <w:t>Introduzione</w:t>
      </w:r>
      <w:bookmarkEnd w:id="0"/>
    </w:p>
    <w:p w:rsidR="007E0A69" w:rsidRPr="00792A65" w:rsidRDefault="007E0A69" w:rsidP="00792A65">
      <w:pPr>
        <w:ind w:left="284" w:right="565"/>
        <w:rPr>
          <w:rFonts w:ascii="Calibri" w:hAnsi="Calibri"/>
          <w:sz w:val="22"/>
          <w:szCs w:val="22"/>
        </w:rPr>
      </w:pP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A norma dell’articolo 126 della Legge Regionale Toscana n. 40 del 2005 e ss.mm.ii., “Le aziende sanitarie adottano il sistema budgetario come metodologia per la formazione del loro Piano Attuativo e come strumento per indirizzare e orientare le scelte operative di realizzazione del piano”.</w:t>
      </w:r>
      <w:r w:rsidRPr="00792A65" w:rsidDel="00B94775">
        <w:rPr>
          <w:rFonts w:ascii="Calibri" w:hAnsi="Calibri" w:cs="Tahoma"/>
          <w:sz w:val="22"/>
          <w:szCs w:val="22"/>
        </w:rPr>
        <w:t xml:space="preserve"> </w:t>
      </w: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Lo Statuto dell’Azienda USL Toscana Centro, in conformità a quanto previsto dalla normativa regionale, all’art</w:t>
      </w:r>
      <w:r>
        <w:rPr>
          <w:rFonts w:ascii="Calibri" w:hAnsi="Calibri" w:cs="Tahoma"/>
          <w:sz w:val="22"/>
          <w:szCs w:val="22"/>
        </w:rPr>
        <w:t xml:space="preserve">. </w:t>
      </w:r>
      <w:r w:rsidRPr="00792A65">
        <w:rPr>
          <w:rFonts w:ascii="Calibri" w:hAnsi="Calibri" w:cs="Tahoma"/>
          <w:sz w:val="22"/>
          <w:szCs w:val="22"/>
        </w:rPr>
        <w:t>39 stabilisce che “</w:t>
      </w:r>
      <w:r w:rsidRPr="00792A65">
        <w:rPr>
          <w:rFonts w:ascii="Calibri" w:hAnsi="Calibri" w:cs="Tahoma"/>
          <w:i/>
          <w:sz w:val="22"/>
          <w:szCs w:val="22"/>
        </w:rPr>
        <w:t>l’Azienda, sulla base della pianificazione strategica e in coerenza con il bilancio preventivo, orienta la propria gestione ai principi della programmazione e del controllo, individuando nel sistema budgetario lo strumento principale per un efficiente e reale controllo di gestione, anche in riferimento al complesso delle responsabilità direzionali e operative ai vari livelli</w:t>
      </w:r>
      <w:r w:rsidRPr="00792A65">
        <w:rPr>
          <w:rFonts w:ascii="Calibri" w:hAnsi="Calibri" w:cs="Tahoma"/>
          <w:sz w:val="22"/>
          <w:szCs w:val="22"/>
        </w:rPr>
        <w:t xml:space="preserve">”. </w:t>
      </w:r>
    </w:p>
    <w:p w:rsidR="007E0A69" w:rsidRPr="00792A65" w:rsidRDefault="007E0A69" w:rsidP="00792A65">
      <w:pPr>
        <w:pStyle w:val="Corpotesto1"/>
        <w:spacing w:line="276" w:lineRule="auto"/>
        <w:ind w:left="284" w:right="565"/>
        <w:jc w:val="both"/>
        <w:rPr>
          <w:rFonts w:ascii="Calibri" w:hAnsi="Calibri" w:cs="Tahoma"/>
          <w:sz w:val="22"/>
          <w:szCs w:val="22"/>
        </w:rPr>
      </w:pPr>
      <w:r w:rsidRPr="00792A65">
        <w:rPr>
          <w:rFonts w:ascii="Calibri" w:hAnsi="Calibri" w:cs="Tahoma"/>
          <w:sz w:val="22"/>
          <w:szCs w:val="22"/>
        </w:rPr>
        <w:t>Il sistema budgetario identifica l’insieme degli obiettivi annuali da perseguire, articolati per i diversi ambiti di attività e per le specifiche responsabilità gestionali e le risorse a tal fine utilizzabili. Il budget esprime la correlazione che si realizza tra obiettivi e risorse disponibili per perseguirli.</w:t>
      </w:r>
    </w:p>
    <w:p w:rsidR="007E0A69"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Il ricorso allo strumento del budget consente di:</w:t>
      </w:r>
    </w:p>
    <w:p w:rsidR="007E0A69" w:rsidRPr="00792A65" w:rsidRDefault="007E0A69" w:rsidP="00DC1B2E">
      <w:pPr>
        <w:numPr>
          <w:ilvl w:val="0"/>
          <w:numId w:val="12"/>
        </w:numPr>
        <w:spacing w:line="276" w:lineRule="auto"/>
        <w:ind w:right="565"/>
        <w:jc w:val="both"/>
        <w:rPr>
          <w:rFonts w:ascii="Calibri" w:hAnsi="Calibri" w:cs="Tahoma"/>
          <w:sz w:val="22"/>
          <w:szCs w:val="22"/>
        </w:rPr>
      </w:pPr>
      <w:r>
        <w:rPr>
          <w:rFonts w:ascii="Calibri" w:hAnsi="Calibri" w:cs="Tahoma"/>
          <w:sz w:val="22"/>
          <w:szCs w:val="22"/>
        </w:rPr>
        <w:t>R</w:t>
      </w:r>
      <w:r w:rsidRPr="00792A65">
        <w:rPr>
          <w:rFonts w:ascii="Calibri" w:hAnsi="Calibri" w:cs="Tahoma"/>
          <w:sz w:val="22"/>
          <w:szCs w:val="22"/>
        </w:rPr>
        <w:t>esponsabilizzare i professionisti sia sugli obiettivi sia sulle risorse impiegate;</w:t>
      </w:r>
    </w:p>
    <w:p w:rsidR="007E0A69" w:rsidRPr="00792A65" w:rsidRDefault="007E0A69" w:rsidP="00DC1B2E">
      <w:pPr>
        <w:numPr>
          <w:ilvl w:val="0"/>
          <w:numId w:val="12"/>
        </w:numPr>
        <w:spacing w:line="276" w:lineRule="auto"/>
        <w:ind w:right="565"/>
        <w:jc w:val="both"/>
        <w:rPr>
          <w:rFonts w:ascii="Calibri" w:hAnsi="Calibri" w:cs="Tahoma"/>
          <w:sz w:val="22"/>
          <w:szCs w:val="22"/>
        </w:rPr>
      </w:pPr>
      <w:r>
        <w:rPr>
          <w:rFonts w:ascii="Calibri" w:hAnsi="Calibri" w:cs="Tahoma"/>
          <w:sz w:val="22"/>
          <w:szCs w:val="22"/>
        </w:rPr>
        <w:t>F</w:t>
      </w:r>
      <w:r w:rsidRPr="00792A65">
        <w:rPr>
          <w:rFonts w:ascii="Calibri" w:hAnsi="Calibri" w:cs="Tahoma"/>
          <w:sz w:val="22"/>
          <w:szCs w:val="22"/>
        </w:rPr>
        <w:t>avorire un migliore coordinamento tra i diversi settori dell’Azienda oltre che sviluppare l’integrazione tra il livello aziendale e il livello operativo;</w:t>
      </w:r>
    </w:p>
    <w:p w:rsidR="007E0A69" w:rsidRPr="00792A65" w:rsidRDefault="007E0A69" w:rsidP="00DC1B2E">
      <w:pPr>
        <w:numPr>
          <w:ilvl w:val="0"/>
          <w:numId w:val="12"/>
        </w:numPr>
        <w:spacing w:line="276" w:lineRule="auto"/>
        <w:ind w:right="565"/>
        <w:jc w:val="both"/>
        <w:rPr>
          <w:rFonts w:ascii="Calibri" w:hAnsi="Calibri" w:cs="Tahoma"/>
          <w:sz w:val="22"/>
          <w:szCs w:val="22"/>
        </w:rPr>
      </w:pPr>
      <w:r>
        <w:rPr>
          <w:rFonts w:ascii="Calibri" w:hAnsi="Calibri" w:cs="Tahoma"/>
          <w:sz w:val="22"/>
          <w:szCs w:val="22"/>
        </w:rPr>
        <w:t>F</w:t>
      </w:r>
      <w:r w:rsidRPr="00792A65">
        <w:rPr>
          <w:rFonts w:ascii="Calibri" w:hAnsi="Calibri" w:cs="Tahoma"/>
          <w:sz w:val="22"/>
          <w:szCs w:val="22"/>
        </w:rPr>
        <w:t>ungere da strumento di guida e di motivazione del personale supportando i Responsabili nella programmazione della loro attività;</w:t>
      </w:r>
    </w:p>
    <w:p w:rsidR="007E0A69" w:rsidRPr="00792A65" w:rsidRDefault="007E0A69" w:rsidP="00DC1B2E">
      <w:pPr>
        <w:numPr>
          <w:ilvl w:val="0"/>
          <w:numId w:val="12"/>
        </w:numPr>
        <w:spacing w:line="276" w:lineRule="auto"/>
        <w:ind w:right="565"/>
        <w:jc w:val="both"/>
        <w:rPr>
          <w:rFonts w:ascii="Calibri" w:hAnsi="Calibri" w:cs="Tahoma"/>
          <w:sz w:val="22"/>
          <w:szCs w:val="22"/>
        </w:rPr>
      </w:pPr>
      <w:r>
        <w:rPr>
          <w:rFonts w:ascii="Calibri" w:hAnsi="Calibri" w:cs="Tahoma"/>
          <w:sz w:val="22"/>
          <w:szCs w:val="22"/>
        </w:rPr>
        <w:t>O</w:t>
      </w:r>
      <w:r w:rsidRPr="00792A65">
        <w:rPr>
          <w:rFonts w:ascii="Calibri" w:hAnsi="Calibri" w:cs="Tahoma"/>
          <w:sz w:val="22"/>
          <w:szCs w:val="22"/>
        </w:rPr>
        <w:t>rientare i comportamenti dei professionisti verso il perseguimento degli obiettivi dell’Azienda;</w:t>
      </w:r>
    </w:p>
    <w:p w:rsidR="007E0A69" w:rsidRPr="00792A65" w:rsidRDefault="007E0A69" w:rsidP="00DC1B2E">
      <w:pPr>
        <w:numPr>
          <w:ilvl w:val="0"/>
          <w:numId w:val="12"/>
        </w:numPr>
        <w:spacing w:line="276" w:lineRule="auto"/>
        <w:ind w:right="565"/>
        <w:jc w:val="both"/>
        <w:rPr>
          <w:rFonts w:ascii="Calibri" w:hAnsi="Calibri" w:cs="Tahoma"/>
          <w:sz w:val="22"/>
          <w:szCs w:val="22"/>
        </w:rPr>
      </w:pPr>
      <w:r>
        <w:rPr>
          <w:rFonts w:ascii="Calibri" w:hAnsi="Calibri" w:cs="Tahoma"/>
          <w:sz w:val="22"/>
          <w:szCs w:val="22"/>
        </w:rPr>
        <w:t>P</w:t>
      </w:r>
      <w:r w:rsidRPr="00792A65">
        <w:rPr>
          <w:rFonts w:ascii="Calibri" w:hAnsi="Calibri" w:cs="Tahoma"/>
          <w:sz w:val="22"/>
          <w:szCs w:val="22"/>
        </w:rPr>
        <w:t>ermettere di misurare e valutare la performance in una logica di miglioramento continuo.</w:t>
      </w: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I provvedimenti normativi noti come “Riforma Brunetta” (</w:t>
      </w:r>
      <w:proofErr w:type="spellStart"/>
      <w:r w:rsidRPr="00792A65">
        <w:rPr>
          <w:rFonts w:ascii="Calibri" w:hAnsi="Calibri" w:cs="Tahoma"/>
          <w:sz w:val="22"/>
          <w:szCs w:val="22"/>
        </w:rPr>
        <w:t>D.Lgs.</w:t>
      </w:r>
      <w:proofErr w:type="spellEnd"/>
      <w:r w:rsidRPr="00792A65">
        <w:rPr>
          <w:rFonts w:ascii="Calibri" w:hAnsi="Calibri" w:cs="Tahoma"/>
          <w:sz w:val="22"/>
          <w:szCs w:val="22"/>
        </w:rPr>
        <w:t xml:space="preserve"> n. 150/2009, in attuazione della Legge n. 15/2009) hanno enfatizzato il ruolo della valutazione, inquadrandola nel più ampio processo di governo della performance intesa come sistema di gestione avente la funzione di connettere le prestazioni individuali e di gruppo con la strategia, orientando ed incentivando  i comportamenti delle persone sugli obiettivi attesi dall’organizzazione e stimolando lo sviluppo delle competenze, il tutto avendo come pilastro il principio della trasparenza dei risultati.</w:t>
      </w: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 xml:space="preserve">Come infatti evidenzia </w:t>
      </w:r>
      <w:smartTag w:uri="urn:schemas-microsoft-com:office:smarttags" w:element="PersonName">
        <w:smartTagPr>
          <w:attr w:name="ProductID" w:val="la Delibera Civit"/>
        </w:smartTagPr>
        <w:r w:rsidRPr="00792A65">
          <w:rPr>
            <w:rFonts w:ascii="Calibri" w:hAnsi="Calibri" w:cs="Tahoma"/>
            <w:sz w:val="22"/>
            <w:szCs w:val="22"/>
          </w:rPr>
          <w:t xml:space="preserve">la Delibera </w:t>
        </w:r>
        <w:proofErr w:type="spellStart"/>
        <w:r w:rsidRPr="00792A65">
          <w:rPr>
            <w:rFonts w:ascii="Calibri" w:hAnsi="Calibri" w:cs="Tahoma"/>
            <w:sz w:val="22"/>
            <w:szCs w:val="22"/>
          </w:rPr>
          <w:t>Civit</w:t>
        </w:r>
      </w:smartTag>
      <w:proofErr w:type="spellEnd"/>
      <w:r w:rsidRPr="00792A65">
        <w:rPr>
          <w:rFonts w:ascii="Calibri" w:hAnsi="Calibri" w:cs="Tahoma"/>
          <w:sz w:val="22"/>
          <w:szCs w:val="22"/>
        </w:rPr>
        <w:t xml:space="preserve"> (</w:t>
      </w:r>
      <w:r w:rsidRPr="00792A65">
        <w:rPr>
          <w:rFonts w:ascii="Calibri" w:hAnsi="Calibri" w:cs="Tahoma"/>
          <w:i/>
          <w:sz w:val="22"/>
          <w:szCs w:val="22"/>
        </w:rPr>
        <w:t>Commissione Indipendente per la valutazione, la trasparenza e l’integrità delle Amministrazioni Pubbliche</w:t>
      </w:r>
      <w:r w:rsidRPr="00792A65">
        <w:rPr>
          <w:rFonts w:ascii="Calibri" w:hAnsi="Calibri" w:cs="Tahoma"/>
          <w:sz w:val="22"/>
          <w:szCs w:val="22"/>
        </w:rPr>
        <w:t>) n° 114/2010, i sistemi di misurazione e valutazione della performance “</w:t>
      </w:r>
      <w:r w:rsidRPr="00792A65">
        <w:rPr>
          <w:rFonts w:ascii="Calibri" w:hAnsi="Calibri" w:cs="Tahoma"/>
          <w:i/>
          <w:sz w:val="22"/>
          <w:szCs w:val="22"/>
        </w:rPr>
        <w:t>sono strumenti essenziali per il miglioramenti dei servizi pubblici e, se appropriatamente sviluppati e implementati, possono svolgere un ruolo fondamentale nella definizione e nel raggiungimento degli obiettivi strategici, nell’allineamento alle migliori pratiche in tema di comportamenti, attitudini e performance organizzative</w:t>
      </w:r>
      <w:r w:rsidRPr="00792A65">
        <w:rPr>
          <w:rFonts w:ascii="Calibri" w:hAnsi="Calibri" w:cs="Tahoma"/>
          <w:sz w:val="22"/>
          <w:szCs w:val="22"/>
        </w:rPr>
        <w:t>”.</w:t>
      </w:r>
    </w:p>
    <w:p w:rsidR="007E0A69" w:rsidRPr="00792A65" w:rsidRDefault="007E0A69" w:rsidP="00792A65">
      <w:pPr>
        <w:ind w:left="284" w:right="565"/>
        <w:jc w:val="both"/>
        <w:rPr>
          <w:rFonts w:ascii="Calibri" w:hAnsi="Calibri" w:cs="Tahoma"/>
          <w:sz w:val="22"/>
          <w:szCs w:val="22"/>
        </w:rPr>
      </w:pPr>
    </w:p>
    <w:p w:rsidR="007E0A69" w:rsidRPr="00792A65" w:rsidRDefault="007E0A69" w:rsidP="00BD2B7B">
      <w:pPr>
        <w:pStyle w:val="Titolo1"/>
        <w:numPr>
          <w:ilvl w:val="0"/>
          <w:numId w:val="5"/>
        </w:numPr>
        <w:ind w:left="284" w:right="565"/>
        <w:rPr>
          <w:rFonts w:ascii="Calibri" w:hAnsi="Calibri"/>
          <w:sz w:val="22"/>
          <w:szCs w:val="22"/>
        </w:rPr>
      </w:pPr>
      <w:bookmarkStart w:id="1" w:name="_Toc371328663"/>
      <w:bookmarkStart w:id="2" w:name="_Toc72510511"/>
      <w:r w:rsidRPr="00792A65">
        <w:rPr>
          <w:rFonts w:ascii="Calibri" w:hAnsi="Calibri"/>
          <w:caps/>
          <w:sz w:val="22"/>
          <w:szCs w:val="22"/>
        </w:rPr>
        <w:t>Scopo</w:t>
      </w:r>
      <w:bookmarkEnd w:id="1"/>
      <w:bookmarkEnd w:id="2"/>
      <w:r w:rsidRPr="00792A65">
        <w:rPr>
          <w:rFonts w:ascii="Calibri" w:hAnsi="Calibri"/>
          <w:sz w:val="22"/>
          <w:szCs w:val="22"/>
        </w:rPr>
        <w:t xml:space="preserve"> </w:t>
      </w:r>
    </w:p>
    <w:p w:rsidR="007E0A69" w:rsidRPr="00792A65" w:rsidRDefault="007E0A69" w:rsidP="00792A65">
      <w:pPr>
        <w:ind w:left="284" w:right="565"/>
        <w:rPr>
          <w:rFonts w:ascii="Calibri" w:hAnsi="Calibri"/>
          <w:sz w:val="22"/>
          <w:szCs w:val="22"/>
        </w:rPr>
      </w:pP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Il budget è uno degli strumenti di governo dell’Azienda, esprime, in termini quantitativi e qualitativi, i programmi annuali di attività, le risorse disponibili ed i risultati da perseguire suddivisi per Centro di Responsabilità (</w:t>
      </w:r>
      <w:proofErr w:type="spellStart"/>
      <w:r w:rsidRPr="00792A65">
        <w:rPr>
          <w:rFonts w:ascii="Calibri" w:hAnsi="Calibri" w:cs="Tahoma"/>
          <w:sz w:val="22"/>
          <w:szCs w:val="22"/>
        </w:rPr>
        <w:t>C.d.R</w:t>
      </w:r>
      <w:proofErr w:type="spellEnd"/>
      <w:r w:rsidRPr="00792A65">
        <w:rPr>
          <w:rFonts w:ascii="Calibri" w:hAnsi="Calibri" w:cs="Tahoma"/>
          <w:sz w:val="22"/>
          <w:szCs w:val="22"/>
        </w:rPr>
        <w:t>) con autonomia organizzativa-gestionale e rilevanza aziendale. La presente procedura ha lo scopo di descrivere e regolare il processo di definizione e gestione del budget annuale dell’Azienda USL Toscana Centro per C.d.R.:</w:t>
      </w:r>
    </w:p>
    <w:p w:rsidR="007E0A69" w:rsidRPr="00792A65" w:rsidRDefault="007E0A69" w:rsidP="00BD2B7B">
      <w:pPr>
        <w:numPr>
          <w:ilvl w:val="0"/>
          <w:numId w:val="8"/>
        </w:numPr>
        <w:spacing w:line="276" w:lineRule="auto"/>
        <w:ind w:left="284" w:right="565" w:firstLine="0"/>
        <w:jc w:val="both"/>
        <w:rPr>
          <w:rFonts w:ascii="Calibri" w:hAnsi="Calibri" w:cs="Tahoma"/>
          <w:sz w:val="22"/>
          <w:szCs w:val="22"/>
        </w:rPr>
      </w:pPr>
      <w:r w:rsidRPr="00792A65">
        <w:rPr>
          <w:rFonts w:ascii="Calibri" w:hAnsi="Calibri" w:cs="Tahoma"/>
          <w:sz w:val="22"/>
          <w:szCs w:val="22"/>
        </w:rPr>
        <w:t>Dipartimenti ed Aree</w:t>
      </w:r>
    </w:p>
    <w:p w:rsidR="007E0A69" w:rsidRDefault="007E0A69" w:rsidP="00BD2B7B">
      <w:pPr>
        <w:numPr>
          <w:ilvl w:val="0"/>
          <w:numId w:val="8"/>
        </w:numPr>
        <w:spacing w:line="276" w:lineRule="auto"/>
        <w:ind w:left="284" w:right="565" w:firstLine="0"/>
        <w:jc w:val="both"/>
        <w:rPr>
          <w:rFonts w:ascii="Calibri" w:hAnsi="Calibri" w:cs="Tahoma"/>
          <w:sz w:val="22"/>
          <w:szCs w:val="22"/>
        </w:rPr>
      </w:pPr>
      <w:r w:rsidRPr="00792A65">
        <w:rPr>
          <w:rFonts w:ascii="Calibri" w:hAnsi="Calibri" w:cs="Tahoma"/>
          <w:sz w:val="22"/>
          <w:szCs w:val="22"/>
        </w:rPr>
        <w:t>Struttura Organizzativa Complessa (SOC)</w:t>
      </w:r>
    </w:p>
    <w:p w:rsidR="007E0A69" w:rsidRPr="00D91BDD" w:rsidRDefault="007E0A69" w:rsidP="00D91BDD">
      <w:pPr>
        <w:numPr>
          <w:ilvl w:val="0"/>
          <w:numId w:val="8"/>
        </w:numPr>
        <w:spacing w:line="276" w:lineRule="auto"/>
        <w:ind w:right="565"/>
        <w:jc w:val="both"/>
        <w:rPr>
          <w:rFonts w:ascii="Calibri" w:hAnsi="Calibri" w:cs="Tahoma"/>
          <w:sz w:val="22"/>
          <w:szCs w:val="22"/>
        </w:rPr>
      </w:pPr>
      <w:r w:rsidRPr="00D91BDD">
        <w:rPr>
          <w:rFonts w:ascii="Calibri" w:hAnsi="Calibri" w:cs="Tahoma"/>
          <w:sz w:val="22"/>
          <w:szCs w:val="22"/>
        </w:rPr>
        <w:t>Struttura Organizzativa Semplice (SOS ad afferenza diretta alla struttura complessa)</w:t>
      </w:r>
    </w:p>
    <w:p w:rsidR="007E0A69" w:rsidRPr="00D91BDD" w:rsidRDefault="007E0A69" w:rsidP="00D91BDD">
      <w:pPr>
        <w:numPr>
          <w:ilvl w:val="0"/>
          <w:numId w:val="8"/>
        </w:numPr>
        <w:spacing w:line="276" w:lineRule="auto"/>
        <w:ind w:right="565"/>
        <w:jc w:val="both"/>
        <w:rPr>
          <w:rFonts w:ascii="Calibri" w:hAnsi="Calibri" w:cs="Tahoma"/>
          <w:sz w:val="22"/>
          <w:szCs w:val="22"/>
        </w:rPr>
      </w:pPr>
      <w:r w:rsidRPr="00D91BDD">
        <w:rPr>
          <w:rFonts w:ascii="Calibri" w:hAnsi="Calibri" w:cs="Tahoma"/>
          <w:sz w:val="22"/>
          <w:szCs w:val="22"/>
        </w:rPr>
        <w:t>Struttura Organizzativa Semplice Dipartimentale (SOSD ad afferenza diretta al Dipartimento)</w:t>
      </w: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Descrive inoltre il processo di individuazione e formalizzazione degli obiettivi aziendali e della loro ripartizione ed assegnazione alle strutture organizzative fino alla fase finale di valutazione del grado di raggiungimento degli stessi e di valutazione del personale dirigente, cui è correlato il sistema premiante.</w:t>
      </w:r>
    </w:p>
    <w:p w:rsidR="007E0A69" w:rsidRPr="00792A65" w:rsidRDefault="007E0A69" w:rsidP="00792A65">
      <w:pPr>
        <w:ind w:left="284" w:right="565"/>
        <w:rPr>
          <w:rFonts w:ascii="Calibri" w:hAnsi="Calibri"/>
          <w:sz w:val="22"/>
          <w:szCs w:val="22"/>
        </w:rPr>
      </w:pPr>
      <w:bookmarkStart w:id="3" w:name="_Toc371328664"/>
    </w:p>
    <w:p w:rsidR="007E0A69" w:rsidRPr="00792A65" w:rsidRDefault="007E0A69" w:rsidP="00BD2B7B">
      <w:pPr>
        <w:pStyle w:val="Titolo1"/>
        <w:numPr>
          <w:ilvl w:val="0"/>
          <w:numId w:val="5"/>
        </w:numPr>
        <w:ind w:left="284" w:right="565"/>
        <w:rPr>
          <w:rFonts w:ascii="Calibri" w:hAnsi="Calibri"/>
          <w:caps/>
          <w:sz w:val="22"/>
          <w:szCs w:val="22"/>
        </w:rPr>
      </w:pPr>
      <w:bookmarkStart w:id="4" w:name="_Toc72510512"/>
      <w:r w:rsidRPr="00792A65">
        <w:rPr>
          <w:rFonts w:ascii="Calibri" w:hAnsi="Calibri"/>
          <w:caps/>
          <w:sz w:val="22"/>
          <w:szCs w:val="22"/>
        </w:rPr>
        <w:lastRenderedPageBreak/>
        <w:t>Definizioni</w:t>
      </w:r>
      <w:bookmarkEnd w:id="4"/>
    </w:p>
    <w:p w:rsidR="007E0A69" w:rsidRPr="00792A65" w:rsidRDefault="007E0A69" w:rsidP="00792A65">
      <w:pPr>
        <w:ind w:left="284" w:right="565"/>
        <w:rPr>
          <w:rFonts w:ascii="Calibri" w:hAnsi="Calibri"/>
          <w:sz w:val="22"/>
          <w:szCs w:val="22"/>
        </w:rPr>
      </w:pP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b/>
          <w:sz w:val="22"/>
          <w:szCs w:val="22"/>
        </w:rPr>
        <w:t>Dipartimento:</w:t>
      </w:r>
      <w:r w:rsidRPr="00792A65">
        <w:rPr>
          <w:rFonts w:ascii="Calibri" w:hAnsi="Calibri"/>
          <w:sz w:val="22"/>
          <w:szCs w:val="22"/>
        </w:rPr>
        <w:t xml:space="preserve"> </w:t>
      </w:r>
      <w:r w:rsidRPr="00792A65">
        <w:rPr>
          <w:rFonts w:ascii="Calibri" w:hAnsi="Calibri" w:cs="Tahoma"/>
          <w:sz w:val="22"/>
          <w:szCs w:val="22"/>
        </w:rPr>
        <w:t xml:space="preserve">modulo ordinario di gestione operativa di tutte le attività aziendali, sia di tipo tecnico amministrativo sia di tipo professionale sanitario con la finalità di assicurare la buona gestione amministrativa finanziaria e di governo clinico. </w:t>
      </w: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b/>
          <w:sz w:val="22"/>
          <w:szCs w:val="22"/>
        </w:rPr>
        <w:t xml:space="preserve">Area: </w:t>
      </w:r>
      <w:r w:rsidRPr="00792A65">
        <w:rPr>
          <w:rFonts w:ascii="Calibri" w:hAnsi="Calibri" w:cs="Tahoma"/>
          <w:sz w:val="22"/>
          <w:szCs w:val="22"/>
        </w:rPr>
        <w:t>ambito organizzativo interno al Dipartimento e sovraordinato rispetto alle SOC, SOS e SOSd, costituito da più Strutture Organizzative omogenee, con particolare riferimento all’affinità di patologie, di casistiche o di attività, alla specialità dell’organo, apparato o distretto anatomico o ancora al criterio dell’intensità o della rapidità della cura o per specifici ambiti di responsabilità legata a complessità e innovazione tecnologica;</w:t>
      </w:r>
    </w:p>
    <w:p w:rsidR="007E0A69" w:rsidRPr="00792A65" w:rsidRDefault="007E0A69" w:rsidP="00792A65">
      <w:pPr>
        <w:spacing w:line="276" w:lineRule="auto"/>
        <w:ind w:left="284" w:right="565"/>
        <w:jc w:val="both"/>
        <w:rPr>
          <w:rFonts w:ascii="Calibri" w:hAnsi="Calibri"/>
          <w:sz w:val="22"/>
          <w:szCs w:val="22"/>
        </w:rPr>
      </w:pPr>
      <w:r w:rsidRPr="00792A65">
        <w:rPr>
          <w:rFonts w:ascii="Calibri" w:hAnsi="Calibri"/>
          <w:b/>
          <w:sz w:val="22"/>
          <w:szCs w:val="22"/>
        </w:rPr>
        <w:t>SOC - Struttura Operativa Complessa e UFC - Unità Funzionale Complessa:</w:t>
      </w:r>
      <w:r w:rsidRPr="00792A65">
        <w:rPr>
          <w:rFonts w:ascii="Calibri" w:hAnsi="Calibri"/>
          <w:sz w:val="22"/>
          <w:szCs w:val="22"/>
        </w:rPr>
        <w:t xml:space="preserve"> struttura organizzativa di particolare complessità caratterizzata da autonomia di budget e responsabilizzazione sui risultati di gestione conseguiti; </w:t>
      </w:r>
    </w:p>
    <w:p w:rsidR="007E0A69" w:rsidRPr="00792A65" w:rsidRDefault="007E0A69" w:rsidP="00792A65">
      <w:pPr>
        <w:spacing w:line="276" w:lineRule="auto"/>
        <w:ind w:left="284" w:right="565"/>
        <w:jc w:val="both"/>
        <w:rPr>
          <w:rFonts w:ascii="Calibri" w:hAnsi="Calibri"/>
          <w:sz w:val="22"/>
          <w:szCs w:val="22"/>
        </w:rPr>
      </w:pPr>
      <w:r w:rsidRPr="00792A65">
        <w:rPr>
          <w:rFonts w:ascii="Calibri" w:hAnsi="Calibri" w:cs="Tahoma"/>
          <w:b/>
          <w:sz w:val="22"/>
          <w:szCs w:val="22"/>
        </w:rPr>
        <w:t xml:space="preserve">SOSd – Struttura Operativa Semplice Dipartimentale: </w:t>
      </w:r>
      <w:r w:rsidRPr="00792A65">
        <w:rPr>
          <w:rFonts w:ascii="Calibri" w:hAnsi="Calibri" w:cs="Tahoma"/>
          <w:sz w:val="22"/>
          <w:szCs w:val="22"/>
        </w:rPr>
        <w:t>struttura organizzativa, a valenza</w:t>
      </w:r>
      <w:r w:rsidRPr="00792A65">
        <w:rPr>
          <w:rFonts w:ascii="Calibri" w:hAnsi="Calibri" w:cs="Tahoma"/>
          <w:b/>
          <w:sz w:val="22"/>
          <w:szCs w:val="22"/>
        </w:rPr>
        <w:t xml:space="preserve"> </w:t>
      </w:r>
      <w:r w:rsidRPr="00792A65">
        <w:rPr>
          <w:rFonts w:ascii="Calibri" w:hAnsi="Calibri" w:cs="Tahoma"/>
          <w:sz w:val="22"/>
          <w:szCs w:val="22"/>
        </w:rPr>
        <w:t>dipartimentale, afferente direttamente ad un Dipartimento o ad un’Area, a garanzia di trasversalità e/o specificità della funzione ed obiettivi assegnati;</w:t>
      </w:r>
    </w:p>
    <w:p w:rsidR="007E0A69" w:rsidRPr="00792A65" w:rsidRDefault="007E0A69" w:rsidP="00792A65">
      <w:pPr>
        <w:spacing w:line="276" w:lineRule="auto"/>
        <w:ind w:left="284" w:right="565"/>
        <w:jc w:val="both"/>
        <w:rPr>
          <w:rFonts w:ascii="Calibri" w:hAnsi="Calibri"/>
          <w:sz w:val="22"/>
          <w:szCs w:val="22"/>
        </w:rPr>
      </w:pPr>
      <w:r w:rsidRPr="00792A65">
        <w:rPr>
          <w:rFonts w:ascii="Calibri" w:hAnsi="Calibri"/>
          <w:b/>
          <w:sz w:val="22"/>
          <w:szCs w:val="22"/>
        </w:rPr>
        <w:t>SOS - Struttura Operativa Semplice e UFS - Unità Funzionale Semplice:</w:t>
      </w:r>
      <w:r w:rsidRPr="00792A65">
        <w:rPr>
          <w:rFonts w:ascii="Calibri" w:hAnsi="Calibri"/>
          <w:sz w:val="22"/>
          <w:szCs w:val="22"/>
        </w:rPr>
        <w:t xml:space="preserve"> articolazione interna ad una struttura complessa, dotata di autonomia organizzativa e di responsabilità sulla gestione di risorse umane, tecniche e finanziarie;</w:t>
      </w:r>
    </w:p>
    <w:p w:rsidR="007E0A69" w:rsidRPr="00364A12" w:rsidRDefault="007E0A69" w:rsidP="00FC33F7">
      <w:pPr>
        <w:spacing w:line="276" w:lineRule="auto"/>
        <w:ind w:left="284" w:right="565"/>
        <w:jc w:val="both"/>
        <w:rPr>
          <w:rFonts w:ascii="Calibri" w:hAnsi="Calibri" w:cs="Tahoma"/>
          <w:bCs/>
          <w:sz w:val="22"/>
          <w:szCs w:val="22"/>
        </w:rPr>
      </w:pPr>
      <w:r w:rsidRPr="00364A12">
        <w:rPr>
          <w:rFonts w:ascii="Calibri" w:hAnsi="Calibri" w:cs="Tahoma"/>
          <w:b/>
          <w:sz w:val="22"/>
          <w:szCs w:val="22"/>
        </w:rPr>
        <w:t xml:space="preserve">Zona Distretto e Società della Salute: </w:t>
      </w:r>
      <w:r w:rsidRPr="00364A12">
        <w:rPr>
          <w:rFonts w:ascii="Calibri" w:hAnsi="Calibri" w:cs="Tahoma"/>
          <w:bCs/>
          <w:sz w:val="22"/>
          <w:szCs w:val="22"/>
        </w:rPr>
        <w:t>Il direttore della società della salute è nominato dal presidente della Società della salute su proposta della giunta esecutiva e previa intesa con il Presidente della Giunta regionale. Il direttore della zona distretto dell'Azienda USL è nominato dal direttore generale dell'azienda unità sanitaria locale, previa intesa con la conferenza zonale integrata.</w:t>
      </w:r>
    </w:p>
    <w:p w:rsidR="007E0A69" w:rsidRPr="00792A65" w:rsidRDefault="007E0A69" w:rsidP="00FC33F7">
      <w:pPr>
        <w:spacing w:line="276" w:lineRule="auto"/>
        <w:ind w:left="284" w:right="565"/>
        <w:jc w:val="both"/>
        <w:rPr>
          <w:rFonts w:ascii="Calibri" w:hAnsi="Calibri" w:cs="Tahoma"/>
          <w:sz w:val="22"/>
          <w:szCs w:val="22"/>
        </w:rPr>
      </w:pPr>
      <w:smartTag w:uri="urn:schemas-microsoft-com:office:smarttags" w:element="PersonName">
        <w:smartTagPr>
          <w:attr w:name="ProductID" w:val="La Zona-distretto"/>
        </w:smartTagPr>
        <w:r w:rsidRPr="00364A12">
          <w:rPr>
            <w:rFonts w:ascii="Calibri" w:hAnsi="Calibri" w:cs="Tahoma"/>
            <w:bCs/>
            <w:sz w:val="22"/>
            <w:szCs w:val="22"/>
          </w:rPr>
          <w:t>La Zona-distretto</w:t>
        </w:r>
      </w:smartTag>
      <w:r w:rsidRPr="00364A12">
        <w:rPr>
          <w:rFonts w:ascii="Calibri" w:hAnsi="Calibri" w:cs="Tahoma"/>
          <w:bCs/>
          <w:sz w:val="22"/>
          <w:szCs w:val="22"/>
        </w:rPr>
        <w:t>/Società della salute, con il supporto dell'Ufficio di piano e delle altre figure preposte, della programmazione economico finanziaria e dalla programmazione di zona attraverso,  elabora il Piano integrato di salute e il Piano di inclusione zonale.</w:t>
      </w:r>
      <w:r>
        <w:rPr>
          <w:rFonts w:ascii="Calibri" w:hAnsi="Calibri" w:cs="Tahoma"/>
          <w:bCs/>
          <w:sz w:val="22"/>
          <w:szCs w:val="22"/>
        </w:rPr>
        <w:t xml:space="preserve">  </w:t>
      </w:r>
    </w:p>
    <w:p w:rsidR="007E0A69" w:rsidRPr="00792A65" w:rsidRDefault="007E0A69" w:rsidP="00792A65">
      <w:pPr>
        <w:spacing w:line="276" w:lineRule="auto"/>
        <w:ind w:left="284" w:right="565"/>
        <w:jc w:val="both"/>
        <w:rPr>
          <w:rFonts w:ascii="Calibri" w:hAnsi="Calibri"/>
          <w:sz w:val="22"/>
          <w:szCs w:val="22"/>
        </w:rPr>
      </w:pPr>
      <w:r w:rsidRPr="00792A65">
        <w:rPr>
          <w:rFonts w:ascii="Calibri" w:hAnsi="Calibri" w:cs="Tahoma"/>
          <w:b/>
          <w:sz w:val="22"/>
          <w:szCs w:val="22"/>
        </w:rPr>
        <w:t>Centro di Costo (</w:t>
      </w:r>
      <w:proofErr w:type="spellStart"/>
      <w:r w:rsidRPr="00792A65">
        <w:rPr>
          <w:rFonts w:ascii="Calibri" w:hAnsi="Calibri" w:cs="Tahoma"/>
          <w:b/>
          <w:sz w:val="22"/>
          <w:szCs w:val="22"/>
        </w:rPr>
        <w:t>CdC</w:t>
      </w:r>
      <w:proofErr w:type="spellEnd"/>
      <w:r w:rsidRPr="00792A65">
        <w:rPr>
          <w:rFonts w:ascii="Calibri" w:hAnsi="Calibri" w:cs="Tahoma"/>
          <w:b/>
          <w:sz w:val="22"/>
          <w:szCs w:val="22"/>
        </w:rPr>
        <w:t xml:space="preserve">): </w:t>
      </w:r>
      <w:r w:rsidRPr="00792A65">
        <w:rPr>
          <w:rFonts w:ascii="Calibri" w:hAnsi="Calibri" w:cs="Tahoma"/>
          <w:sz w:val="22"/>
          <w:szCs w:val="22"/>
        </w:rPr>
        <w:t>unità contabile di imputazione dei costi relativi ad attività/servizi/unità organizzative di un'Azienda;</w:t>
      </w:r>
      <w:r w:rsidRPr="00792A65">
        <w:rPr>
          <w:rFonts w:ascii="Calibri" w:hAnsi="Calibri"/>
          <w:sz w:val="22"/>
          <w:szCs w:val="22"/>
        </w:rPr>
        <w:t> </w:t>
      </w:r>
    </w:p>
    <w:p w:rsidR="007E0A69" w:rsidRPr="00792A65" w:rsidRDefault="007E0A69" w:rsidP="00792A65">
      <w:pPr>
        <w:spacing w:line="276" w:lineRule="auto"/>
        <w:ind w:left="284" w:right="565"/>
        <w:jc w:val="both"/>
        <w:rPr>
          <w:rFonts w:ascii="Calibri" w:hAnsi="Calibri" w:cs="Tahoma"/>
          <w:color w:val="0000FF"/>
          <w:sz w:val="22"/>
          <w:szCs w:val="22"/>
        </w:rPr>
      </w:pPr>
      <w:r w:rsidRPr="00792A65">
        <w:rPr>
          <w:rFonts w:ascii="Calibri" w:hAnsi="Calibri" w:cs="Tahoma"/>
          <w:b/>
          <w:sz w:val="22"/>
          <w:szCs w:val="22"/>
        </w:rPr>
        <w:t>Centro di responsabilità (</w:t>
      </w:r>
      <w:proofErr w:type="spellStart"/>
      <w:r w:rsidRPr="00792A65">
        <w:rPr>
          <w:rFonts w:ascii="Calibri" w:hAnsi="Calibri" w:cs="Tahoma"/>
          <w:b/>
          <w:sz w:val="22"/>
          <w:szCs w:val="22"/>
        </w:rPr>
        <w:t>CdR</w:t>
      </w:r>
      <w:proofErr w:type="spellEnd"/>
      <w:r w:rsidRPr="00792A65">
        <w:rPr>
          <w:rFonts w:ascii="Calibri" w:hAnsi="Calibri" w:cs="Tahoma"/>
          <w:b/>
          <w:sz w:val="22"/>
          <w:szCs w:val="22"/>
        </w:rPr>
        <w:t>)</w:t>
      </w:r>
      <w:r w:rsidRPr="00792A65">
        <w:rPr>
          <w:rFonts w:ascii="Calibri" w:hAnsi="Calibri" w:cs="Tahoma"/>
          <w:sz w:val="22"/>
          <w:szCs w:val="22"/>
        </w:rPr>
        <w:t>: è una struttura organizzativa, articolata in Centri di Costo, cui è preposto un organo responsabile – dirigente ovvero organo collegiale o direttore di struttura – ed alla quale sono state affidate risorse (umane, patrimoniali) per il raggiungimento di determinati obiettivi ed attività. All’interno dell’ASL Toscana Centro sono Centri di responsabilità i Dipartimenti, le Aree, le SOC (o UFC), le SOSd e le SOS (o UFS), secondo le linee indicate dal Regolamento Aziendale di Organizzazione in vigore;</w:t>
      </w: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b/>
          <w:sz w:val="22"/>
          <w:szCs w:val="22"/>
        </w:rPr>
        <w:t>Fattore Produttivo (FP):</w:t>
      </w:r>
      <w:r w:rsidRPr="00792A65">
        <w:rPr>
          <w:rFonts w:ascii="Calibri" w:hAnsi="Calibri" w:cs="Tahoma"/>
          <w:sz w:val="22"/>
          <w:szCs w:val="22"/>
        </w:rPr>
        <w:t xml:space="preserve"> insieme di risorse o input (beni, personale, attrezzature, etc.)</w:t>
      </w:r>
      <w:r>
        <w:rPr>
          <w:rFonts w:ascii="Calibri" w:hAnsi="Calibri" w:cs="Tahoma"/>
          <w:sz w:val="22"/>
          <w:szCs w:val="22"/>
        </w:rPr>
        <w:t xml:space="preserve"> </w:t>
      </w:r>
      <w:r w:rsidRPr="00792A65">
        <w:rPr>
          <w:rFonts w:ascii="Calibri" w:hAnsi="Calibri" w:cs="Tahoma"/>
          <w:sz w:val="22"/>
          <w:szCs w:val="22"/>
        </w:rPr>
        <w:t>che combinati tra di loro producono servizi/prestazioni/output;</w:t>
      </w: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b/>
          <w:sz w:val="22"/>
          <w:szCs w:val="22"/>
        </w:rPr>
        <w:t>Sistema budgetario</w:t>
      </w:r>
      <w:r w:rsidRPr="00792A65">
        <w:rPr>
          <w:rFonts w:ascii="Calibri" w:hAnsi="Calibri" w:cs="Tahoma"/>
          <w:sz w:val="22"/>
          <w:szCs w:val="22"/>
        </w:rPr>
        <w:t>: è costituito da documenti previsionali che, con riguardo all’esercizio o a periodi più circoscritti, definiscono, per i diversi ambiti di attività e per le specifiche responsabilità gestionali, gli obiettivi da perseguire e le risorse a tal fine disponibili e ne verificano i risultati raggiunti sulla base di documenti consultivi” -</w:t>
      </w:r>
      <w:r w:rsidRPr="00792A65">
        <w:rPr>
          <w:rFonts w:ascii="Calibri" w:hAnsi="Calibri" w:cs="Tahoma"/>
          <w:b/>
          <w:sz w:val="22"/>
          <w:szCs w:val="22"/>
        </w:rPr>
        <w:t xml:space="preserve"> </w:t>
      </w:r>
      <w:r w:rsidRPr="00792A65">
        <w:rPr>
          <w:rFonts w:ascii="Calibri" w:hAnsi="Calibri" w:cs="Tahoma"/>
          <w:sz w:val="22"/>
          <w:szCs w:val="22"/>
        </w:rPr>
        <w:t>Art. 126 comma II Legge RT 40</w:t>
      </w:r>
    </w:p>
    <w:p w:rsidR="007E0A69" w:rsidRDefault="007E0A69" w:rsidP="00792A65">
      <w:pPr>
        <w:spacing w:line="276" w:lineRule="auto"/>
        <w:ind w:left="284" w:right="565"/>
        <w:jc w:val="both"/>
        <w:rPr>
          <w:rFonts w:ascii="Calibri" w:hAnsi="Calibri" w:cs="Tahoma"/>
          <w:sz w:val="22"/>
          <w:szCs w:val="22"/>
        </w:rPr>
      </w:pPr>
      <w:r w:rsidRPr="00792A65">
        <w:rPr>
          <w:rFonts w:ascii="Calibri" w:hAnsi="Calibri" w:cs="Tahoma"/>
          <w:b/>
          <w:sz w:val="22"/>
          <w:szCs w:val="22"/>
        </w:rPr>
        <w:t>OIV – Organismo Indipendente di Valutazione</w:t>
      </w:r>
      <w:r w:rsidRPr="00792A65">
        <w:rPr>
          <w:rFonts w:ascii="Calibri" w:hAnsi="Calibri" w:cs="Tahoma"/>
          <w:sz w:val="22"/>
          <w:szCs w:val="22"/>
        </w:rPr>
        <w:t>: organismo che monitora il processo di valutazione della performance organizzativa e individuale, dalla definizione degli obiettivi fino alle prestazioni rese, al fine di garantirne correttezza e aderenza agli indirizzi regionali.</w:t>
      </w:r>
    </w:p>
    <w:p w:rsidR="007E0A69" w:rsidRPr="00792A65" w:rsidRDefault="007E0A69" w:rsidP="00792A65">
      <w:pPr>
        <w:ind w:left="284" w:right="565"/>
        <w:jc w:val="both"/>
        <w:rPr>
          <w:rFonts w:ascii="Calibri" w:hAnsi="Calibri" w:cs="Tahoma"/>
          <w:sz w:val="22"/>
          <w:szCs w:val="22"/>
        </w:rPr>
      </w:pPr>
    </w:p>
    <w:p w:rsidR="007E0A69" w:rsidRPr="00792A65" w:rsidRDefault="007E0A69" w:rsidP="00BD2B7B">
      <w:pPr>
        <w:pStyle w:val="Titolo1"/>
        <w:numPr>
          <w:ilvl w:val="0"/>
          <w:numId w:val="5"/>
        </w:numPr>
        <w:ind w:left="284" w:right="565"/>
        <w:rPr>
          <w:rFonts w:ascii="Calibri" w:hAnsi="Calibri"/>
          <w:caps/>
          <w:sz w:val="22"/>
          <w:szCs w:val="22"/>
        </w:rPr>
      </w:pPr>
      <w:r>
        <w:rPr>
          <w:rFonts w:ascii="Calibri" w:hAnsi="Calibri"/>
          <w:caps/>
          <w:sz w:val="22"/>
          <w:szCs w:val="22"/>
        </w:rPr>
        <w:br w:type="page"/>
      </w:r>
      <w:bookmarkStart w:id="5" w:name="_Toc72510513"/>
      <w:r w:rsidRPr="00792A65">
        <w:rPr>
          <w:rFonts w:ascii="Calibri" w:hAnsi="Calibri"/>
          <w:caps/>
          <w:sz w:val="22"/>
          <w:szCs w:val="22"/>
        </w:rPr>
        <w:lastRenderedPageBreak/>
        <w:t>Campo di applicazione</w:t>
      </w:r>
      <w:bookmarkEnd w:id="3"/>
      <w:bookmarkEnd w:id="5"/>
      <w:r w:rsidRPr="00792A65">
        <w:rPr>
          <w:rFonts w:ascii="Calibri" w:hAnsi="Calibri"/>
          <w:caps/>
          <w:sz w:val="22"/>
          <w:szCs w:val="22"/>
        </w:rPr>
        <w:t xml:space="preserve"> </w:t>
      </w:r>
    </w:p>
    <w:p w:rsidR="007E0A69" w:rsidRPr="00792A65" w:rsidRDefault="007E0A69" w:rsidP="00792A65">
      <w:pPr>
        <w:spacing w:line="276" w:lineRule="auto"/>
        <w:ind w:left="284" w:right="565"/>
        <w:rPr>
          <w:rFonts w:ascii="Calibri" w:hAnsi="Calibri"/>
          <w:sz w:val="22"/>
          <w:szCs w:val="22"/>
        </w:rPr>
      </w:pP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sz w:val="22"/>
          <w:szCs w:val="22"/>
        </w:rPr>
        <w:t>Sono destinatari</w:t>
      </w:r>
      <w:r w:rsidRPr="00792A65">
        <w:rPr>
          <w:rFonts w:ascii="Calibri" w:hAnsi="Calibri" w:cs="Tahoma"/>
          <w:i/>
          <w:sz w:val="22"/>
          <w:szCs w:val="22"/>
        </w:rPr>
        <w:t xml:space="preserve"> </w:t>
      </w:r>
      <w:r w:rsidRPr="00792A65">
        <w:rPr>
          <w:rFonts w:ascii="Calibri" w:hAnsi="Calibri" w:cs="Tahoma"/>
          <w:sz w:val="22"/>
          <w:szCs w:val="22"/>
        </w:rPr>
        <w:t>del processo di budget e di valutazione della performance</w:t>
      </w:r>
      <w:r>
        <w:rPr>
          <w:rFonts w:ascii="Calibri" w:hAnsi="Calibri" w:cs="Tahoma"/>
          <w:sz w:val="22"/>
          <w:szCs w:val="22"/>
        </w:rPr>
        <w:t xml:space="preserve"> </w:t>
      </w:r>
      <w:r w:rsidRPr="00792A65">
        <w:rPr>
          <w:rFonts w:ascii="Calibri" w:hAnsi="Calibri" w:cs="Tahoma"/>
          <w:sz w:val="22"/>
          <w:szCs w:val="22"/>
        </w:rPr>
        <w:t>le posizioni riconducibili a:</w:t>
      </w:r>
    </w:p>
    <w:p w:rsidR="007E0A69" w:rsidRPr="00792A65" w:rsidRDefault="007E0A69" w:rsidP="00BD2B7B">
      <w:pPr>
        <w:pStyle w:val="Corpodeltesto2"/>
        <w:numPr>
          <w:ilvl w:val="0"/>
          <w:numId w:val="9"/>
        </w:numPr>
        <w:spacing w:line="276" w:lineRule="auto"/>
        <w:ind w:left="284" w:right="565" w:firstLine="0"/>
        <w:rPr>
          <w:rFonts w:ascii="Calibri" w:hAnsi="Calibri" w:cs="Tahoma"/>
          <w:sz w:val="22"/>
          <w:szCs w:val="22"/>
        </w:rPr>
      </w:pPr>
      <w:r w:rsidRPr="00792A65">
        <w:rPr>
          <w:rFonts w:ascii="Calibri" w:hAnsi="Calibri" w:cs="Tahoma"/>
          <w:sz w:val="22"/>
          <w:szCs w:val="22"/>
        </w:rPr>
        <w:t>Direttori di Zona/Distretto;</w:t>
      </w:r>
    </w:p>
    <w:p w:rsidR="007E0A69" w:rsidRPr="00792A65" w:rsidRDefault="007E0A69" w:rsidP="00BD2B7B">
      <w:pPr>
        <w:pStyle w:val="Corpodeltesto2"/>
        <w:numPr>
          <w:ilvl w:val="0"/>
          <w:numId w:val="9"/>
        </w:numPr>
        <w:spacing w:line="276" w:lineRule="auto"/>
        <w:ind w:left="284" w:right="565" w:firstLine="0"/>
        <w:rPr>
          <w:rFonts w:ascii="Calibri" w:hAnsi="Calibri" w:cs="Tahoma"/>
          <w:sz w:val="22"/>
          <w:szCs w:val="22"/>
        </w:rPr>
      </w:pPr>
      <w:r w:rsidRPr="00792A65">
        <w:rPr>
          <w:rFonts w:ascii="Calibri" w:hAnsi="Calibri" w:cs="Tahoma"/>
          <w:sz w:val="22"/>
          <w:szCs w:val="22"/>
        </w:rPr>
        <w:t>Direttori di Rete Ospedaliera;</w:t>
      </w:r>
    </w:p>
    <w:p w:rsidR="007E0A69" w:rsidRPr="00792A65" w:rsidRDefault="007E0A69" w:rsidP="00BD2B7B">
      <w:pPr>
        <w:pStyle w:val="Corpodeltesto2"/>
        <w:numPr>
          <w:ilvl w:val="0"/>
          <w:numId w:val="9"/>
        </w:numPr>
        <w:spacing w:line="276" w:lineRule="auto"/>
        <w:ind w:left="284" w:right="565" w:firstLine="0"/>
        <w:rPr>
          <w:rFonts w:ascii="Calibri" w:hAnsi="Calibri" w:cs="Tahoma"/>
          <w:sz w:val="22"/>
          <w:szCs w:val="22"/>
        </w:rPr>
      </w:pPr>
      <w:r w:rsidRPr="00792A65">
        <w:rPr>
          <w:rFonts w:ascii="Calibri" w:hAnsi="Calibri" w:cs="Tahoma"/>
          <w:sz w:val="22"/>
          <w:szCs w:val="22"/>
        </w:rPr>
        <w:t>Direttori di Dipartimento;</w:t>
      </w:r>
    </w:p>
    <w:p w:rsidR="007E0A69" w:rsidRPr="00792A65" w:rsidRDefault="007E0A69" w:rsidP="00BD2B7B">
      <w:pPr>
        <w:pStyle w:val="Corpodeltesto2"/>
        <w:numPr>
          <w:ilvl w:val="0"/>
          <w:numId w:val="9"/>
        </w:numPr>
        <w:spacing w:line="276" w:lineRule="auto"/>
        <w:ind w:left="284" w:right="565" w:firstLine="0"/>
        <w:rPr>
          <w:rFonts w:ascii="Calibri" w:hAnsi="Calibri" w:cs="Tahoma"/>
          <w:sz w:val="22"/>
          <w:szCs w:val="22"/>
        </w:rPr>
      </w:pPr>
      <w:r w:rsidRPr="00792A65">
        <w:rPr>
          <w:rFonts w:ascii="Calibri" w:hAnsi="Calibri" w:cs="Tahoma"/>
          <w:sz w:val="22"/>
          <w:szCs w:val="22"/>
        </w:rPr>
        <w:t>Direttori di Area;</w:t>
      </w:r>
    </w:p>
    <w:p w:rsidR="007E0A69" w:rsidRPr="00792A65" w:rsidRDefault="007E0A69" w:rsidP="00BD2B7B">
      <w:pPr>
        <w:pStyle w:val="Corpodeltesto2"/>
        <w:numPr>
          <w:ilvl w:val="0"/>
          <w:numId w:val="9"/>
        </w:numPr>
        <w:spacing w:line="276" w:lineRule="auto"/>
        <w:ind w:left="709" w:right="565" w:hanging="425"/>
        <w:rPr>
          <w:rFonts w:ascii="Calibri" w:hAnsi="Calibri" w:cs="Tahoma"/>
          <w:sz w:val="22"/>
          <w:szCs w:val="22"/>
        </w:rPr>
      </w:pPr>
      <w:r w:rsidRPr="00792A65">
        <w:rPr>
          <w:rFonts w:ascii="Calibri" w:hAnsi="Calibri" w:cs="Tahoma"/>
          <w:sz w:val="22"/>
          <w:szCs w:val="22"/>
        </w:rPr>
        <w:t>Direttori delle Strutture Organizzative Complesse (SOC e UFC), Semplici Dipartimentali (SOSd) e Semplici non dipartimentali (SOS e UFS);</w:t>
      </w:r>
    </w:p>
    <w:p w:rsidR="007E0A69" w:rsidRPr="00792A65" w:rsidRDefault="007E0A69" w:rsidP="00BD2B7B">
      <w:pPr>
        <w:pStyle w:val="Corpodeltesto2"/>
        <w:numPr>
          <w:ilvl w:val="0"/>
          <w:numId w:val="9"/>
        </w:numPr>
        <w:spacing w:line="276" w:lineRule="auto"/>
        <w:ind w:left="709" w:right="565" w:hanging="425"/>
        <w:rPr>
          <w:rFonts w:ascii="Calibri" w:hAnsi="Calibri" w:cs="Tahoma"/>
          <w:sz w:val="22"/>
          <w:szCs w:val="22"/>
        </w:rPr>
      </w:pPr>
      <w:r w:rsidRPr="00792A65">
        <w:rPr>
          <w:rFonts w:ascii="Calibri" w:hAnsi="Calibri" w:cs="Tahoma"/>
          <w:sz w:val="22"/>
          <w:szCs w:val="22"/>
        </w:rPr>
        <w:t>Dirigenti di qualsiasi ruolo (medico, sanitario non medico, professionale, tecnico, amministrativo), non responsabile di struttura.</w:t>
      </w:r>
    </w:p>
    <w:p w:rsidR="007E0A69" w:rsidRPr="00792A65" w:rsidRDefault="007E0A69" w:rsidP="00792A65">
      <w:pPr>
        <w:pStyle w:val="Corpodeltesto2"/>
        <w:ind w:left="284" w:right="565"/>
        <w:rPr>
          <w:rFonts w:ascii="Calibri" w:hAnsi="Calibri" w:cs="Tahoma"/>
          <w:sz w:val="22"/>
          <w:szCs w:val="22"/>
        </w:rPr>
      </w:pPr>
    </w:p>
    <w:p w:rsidR="007E0A69" w:rsidRPr="00792A65" w:rsidRDefault="007E0A69" w:rsidP="00BD2B7B">
      <w:pPr>
        <w:pStyle w:val="Titolo1"/>
        <w:numPr>
          <w:ilvl w:val="0"/>
          <w:numId w:val="5"/>
        </w:numPr>
        <w:ind w:left="284" w:right="565"/>
        <w:rPr>
          <w:rFonts w:ascii="Calibri" w:hAnsi="Calibri"/>
          <w:caps/>
          <w:sz w:val="22"/>
          <w:szCs w:val="22"/>
        </w:rPr>
      </w:pPr>
      <w:bookmarkStart w:id="6" w:name="_Toc229820947"/>
      <w:bookmarkStart w:id="7" w:name="_Toc371328666"/>
      <w:bookmarkStart w:id="8" w:name="_Toc72510514"/>
      <w:bookmarkEnd w:id="6"/>
      <w:r w:rsidRPr="00792A65">
        <w:rPr>
          <w:rFonts w:ascii="Calibri" w:hAnsi="Calibri"/>
          <w:caps/>
          <w:sz w:val="22"/>
          <w:szCs w:val="22"/>
        </w:rPr>
        <w:t>Responsabilità</w:t>
      </w:r>
      <w:bookmarkEnd w:id="7"/>
      <w:bookmarkEnd w:id="8"/>
    </w:p>
    <w:p w:rsidR="007E0A69" w:rsidRPr="00792A65" w:rsidRDefault="007E0A69" w:rsidP="00792A65">
      <w:pPr>
        <w:spacing w:line="276" w:lineRule="auto"/>
        <w:ind w:left="284" w:right="565"/>
        <w:rPr>
          <w:rFonts w:ascii="Calibri" w:hAnsi="Calibri"/>
          <w:sz w:val="22"/>
          <w:szCs w:val="22"/>
        </w:rPr>
      </w:pP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b/>
          <w:sz w:val="22"/>
          <w:szCs w:val="22"/>
        </w:rPr>
        <w:t xml:space="preserve">Direzione Aziendale: </w:t>
      </w:r>
      <w:r w:rsidRPr="00792A65">
        <w:rPr>
          <w:rFonts w:ascii="Calibri" w:hAnsi="Calibri" w:cs="Tahoma"/>
          <w:bCs/>
          <w:sz w:val="22"/>
          <w:szCs w:val="22"/>
        </w:rPr>
        <w:t xml:space="preserve">Ai Sensi dell’articolo 36 della Legge Regione Toscana n° 40 del 2005 e ss.mm.ii. </w:t>
      </w:r>
      <w:r>
        <w:rPr>
          <w:rFonts w:ascii="Calibri" w:hAnsi="Calibri" w:cs="Tahoma"/>
          <w:bCs/>
          <w:sz w:val="22"/>
          <w:szCs w:val="22"/>
        </w:rPr>
        <w:t xml:space="preserve">è </w:t>
      </w:r>
      <w:r w:rsidRPr="00792A65">
        <w:rPr>
          <w:rFonts w:ascii="Calibri" w:hAnsi="Calibri" w:cs="Tahoma"/>
          <w:bCs/>
          <w:sz w:val="22"/>
          <w:szCs w:val="22"/>
        </w:rPr>
        <w:t>riservata al Direttore Generale, acquisiti i pareri favorevoli del Direttore Amministrativo e Sanitario, l’adozione degli atti di Bilancio secondo le modalità specificate al capo II della normativa regionale. Le specifiche responsabilità di ciascun Direttore sono definite nello Statuto Aziendale.</w:t>
      </w:r>
      <w:r w:rsidRPr="00792A65">
        <w:rPr>
          <w:rFonts w:ascii="Calibri" w:hAnsi="Calibri" w:cs="Tahoma"/>
          <w:b/>
          <w:sz w:val="22"/>
          <w:szCs w:val="22"/>
        </w:rPr>
        <w:t xml:space="preserve"> </w:t>
      </w:r>
      <w:r w:rsidRPr="00792A65">
        <w:rPr>
          <w:rFonts w:ascii="Calibri" w:hAnsi="Calibri" w:cs="Tahoma"/>
          <w:sz w:val="22"/>
          <w:szCs w:val="22"/>
        </w:rPr>
        <w:t xml:space="preserve">La Direzione Aziendale, composta da Direttore Generale, Sanitario, Amministrativo e Direttore dei Servizi Sociali, definisce, sulla base degli indirizzi regionali, le linee guida </w:t>
      </w:r>
      <w:r>
        <w:rPr>
          <w:rFonts w:ascii="Calibri" w:hAnsi="Calibri" w:cs="Tahoma"/>
          <w:sz w:val="22"/>
          <w:szCs w:val="22"/>
        </w:rPr>
        <w:t>per l’elaborazione del Budget</w:t>
      </w:r>
      <w:r w:rsidRPr="00792A65">
        <w:rPr>
          <w:rFonts w:ascii="Calibri" w:hAnsi="Calibri" w:cs="Tahoma"/>
          <w:sz w:val="22"/>
          <w:szCs w:val="22"/>
        </w:rPr>
        <w:t>.</w:t>
      </w:r>
    </w:p>
    <w:p w:rsidR="007E0A69" w:rsidRPr="00792A65" w:rsidRDefault="007E0A69" w:rsidP="00792A65">
      <w:pPr>
        <w:pStyle w:val="Corpodeltesto2"/>
        <w:spacing w:line="276" w:lineRule="auto"/>
        <w:ind w:left="284" w:right="565"/>
        <w:rPr>
          <w:rFonts w:ascii="Calibri" w:hAnsi="Calibri" w:cs="Tahoma"/>
          <w:b/>
          <w:sz w:val="22"/>
          <w:szCs w:val="22"/>
        </w:rPr>
      </w:pP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b/>
          <w:sz w:val="22"/>
          <w:szCs w:val="22"/>
        </w:rPr>
        <w:t xml:space="preserve">SOC </w:t>
      </w:r>
      <w:proofErr w:type="spellStart"/>
      <w:r w:rsidRPr="00792A65">
        <w:rPr>
          <w:rFonts w:ascii="Calibri" w:hAnsi="Calibri" w:cs="Tahoma"/>
          <w:b/>
          <w:sz w:val="22"/>
          <w:szCs w:val="22"/>
        </w:rPr>
        <w:t>Controlling</w:t>
      </w:r>
      <w:proofErr w:type="spellEnd"/>
      <w:r w:rsidRPr="00792A65">
        <w:rPr>
          <w:rFonts w:ascii="Calibri" w:hAnsi="Calibri" w:cs="Tahoma"/>
          <w:b/>
          <w:sz w:val="22"/>
          <w:szCs w:val="22"/>
        </w:rPr>
        <w:t xml:space="preserve">: </w:t>
      </w:r>
      <w:r w:rsidRPr="00792A65">
        <w:rPr>
          <w:rFonts w:ascii="Calibri" w:hAnsi="Calibri" w:cs="Tahoma"/>
          <w:sz w:val="22"/>
          <w:szCs w:val="22"/>
        </w:rPr>
        <w:t>svolge un ruolo operativo di supporto e coordinamento dell’intero processo di Budget aziendale per quanto riguarda la fase di negoziazione, di monitoraggio infrannuale e di istruttoria e verifica finale a consuntivo del raggiungimento degli obiettivi economici (scheda A)</w:t>
      </w:r>
    </w:p>
    <w:p w:rsidR="007E0A69" w:rsidRPr="00792A65" w:rsidRDefault="007E0A69" w:rsidP="00792A65">
      <w:pPr>
        <w:spacing w:line="276" w:lineRule="auto"/>
        <w:ind w:left="284" w:right="565"/>
        <w:jc w:val="both"/>
        <w:rPr>
          <w:rFonts w:ascii="Calibri" w:hAnsi="Calibri" w:cs="Tahoma"/>
          <w:sz w:val="22"/>
          <w:szCs w:val="22"/>
        </w:rPr>
      </w:pP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b/>
          <w:sz w:val="22"/>
          <w:szCs w:val="22"/>
        </w:rPr>
        <w:t>Staff della Direzione Sanitaria</w:t>
      </w:r>
      <w:r w:rsidRPr="00792A65">
        <w:rPr>
          <w:rFonts w:ascii="Calibri" w:hAnsi="Calibri" w:cs="Tahoma"/>
          <w:sz w:val="22"/>
          <w:szCs w:val="22"/>
        </w:rPr>
        <w:t>: con le sue articolazioni organizzative svolge un ruolo operativo di supporto e coordinamento dell’intero processo di Budget aziendale per quanto riguarda la fase di negoziazione, di monitoraggio infrannuale e di istruttoria e verifica finale a consuntivo del raggiungimento degli obiettivi progettuali e di attività (scheda B)</w:t>
      </w: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 xml:space="preserve"> </w:t>
      </w: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b/>
          <w:bCs/>
          <w:sz w:val="22"/>
          <w:szCs w:val="22"/>
        </w:rPr>
        <w:t>SOC Analisi dati attività sanitaria e programmazione operativa</w:t>
      </w:r>
      <w:r w:rsidRPr="00792A65">
        <w:rPr>
          <w:rFonts w:ascii="Calibri" w:hAnsi="Calibri" w:cs="Tahoma"/>
          <w:sz w:val="22"/>
          <w:szCs w:val="22"/>
        </w:rPr>
        <w:t>: partecipa attivamente alla definizione degli obiettivi in merito alla calcolabilità degli indicatori, definendone tipologia, dimensione e coerenza rispetto agli obiettivi, è a supporto durante la fase di negoziazione, di monitoraggio e di istruttoria e verifica finale a consuntivo del raggiungimento degli obiettivi progettuali e di attività.</w:t>
      </w:r>
    </w:p>
    <w:p w:rsidR="007E0A69" w:rsidRPr="00792A65" w:rsidRDefault="007E0A69" w:rsidP="00792A65">
      <w:pPr>
        <w:spacing w:line="276" w:lineRule="auto"/>
        <w:ind w:left="284" w:right="565"/>
        <w:jc w:val="both"/>
        <w:rPr>
          <w:rFonts w:ascii="Calibri" w:hAnsi="Calibri" w:cs="Tahoma"/>
          <w:sz w:val="22"/>
          <w:szCs w:val="22"/>
        </w:rPr>
      </w:pPr>
    </w:p>
    <w:p w:rsidR="007E0A69" w:rsidRPr="00792A65" w:rsidRDefault="007E0A69" w:rsidP="00792A65">
      <w:pPr>
        <w:spacing w:line="276" w:lineRule="auto"/>
        <w:ind w:left="284" w:right="565"/>
        <w:jc w:val="both"/>
        <w:rPr>
          <w:rFonts w:ascii="Calibri" w:hAnsi="Calibri" w:cs="Tahoma"/>
          <w:sz w:val="22"/>
          <w:szCs w:val="22"/>
        </w:rPr>
      </w:pPr>
      <w:bookmarkStart w:id="9" w:name="_Hlk69141335"/>
      <w:r w:rsidRPr="00792A65">
        <w:rPr>
          <w:rFonts w:ascii="Calibri" w:hAnsi="Calibri" w:cs="Tahoma"/>
          <w:b/>
          <w:sz w:val="22"/>
          <w:szCs w:val="22"/>
        </w:rPr>
        <w:t>SOC Governance Farmaceutica e Appropriatezza prescrittiva</w:t>
      </w:r>
      <w:bookmarkEnd w:id="9"/>
      <w:r w:rsidRPr="00792A65">
        <w:rPr>
          <w:rFonts w:ascii="Calibri" w:hAnsi="Calibri" w:cs="Tahoma"/>
          <w:b/>
          <w:sz w:val="22"/>
          <w:szCs w:val="22"/>
        </w:rPr>
        <w:t>:</w:t>
      </w:r>
      <w:r w:rsidRPr="00792A65">
        <w:rPr>
          <w:rFonts w:ascii="Calibri" w:hAnsi="Calibri" w:cs="Tahoma"/>
          <w:sz w:val="22"/>
          <w:szCs w:val="22"/>
        </w:rPr>
        <w:t xml:space="preserve"> definisce le linee di governo e di appropriatezza farmaceutica tradotta in chiave progettuale e qualitativa nella scheda B e in chiave economica nella scheda A;</w:t>
      </w:r>
    </w:p>
    <w:p w:rsidR="007E0A69" w:rsidRPr="00792A65" w:rsidRDefault="007E0A69" w:rsidP="00792A65">
      <w:pPr>
        <w:spacing w:line="276" w:lineRule="auto"/>
        <w:ind w:left="284" w:right="565"/>
        <w:jc w:val="both"/>
        <w:rPr>
          <w:rFonts w:ascii="Calibri" w:hAnsi="Calibri" w:cs="Tahoma"/>
          <w:b/>
          <w:sz w:val="22"/>
          <w:szCs w:val="22"/>
        </w:rPr>
      </w:pP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b/>
          <w:sz w:val="22"/>
          <w:szCs w:val="22"/>
        </w:rPr>
        <w:t>Dipartimento del Farmaco</w:t>
      </w:r>
      <w:r w:rsidRPr="00792A65">
        <w:rPr>
          <w:rFonts w:ascii="Calibri" w:hAnsi="Calibri" w:cs="Tahoma"/>
          <w:sz w:val="22"/>
          <w:szCs w:val="22"/>
        </w:rPr>
        <w:t>: definisce le linee di governo della spesa sanitaria per Dispositivi e altri beni sanitari da tradursi in chiave economica nella scheda A e/o in chiave progettuale e qualitativa nella scheda B;</w:t>
      </w:r>
    </w:p>
    <w:p w:rsidR="007E0A69" w:rsidRPr="00792A65" w:rsidRDefault="007E0A69" w:rsidP="00792A65">
      <w:pPr>
        <w:spacing w:line="276" w:lineRule="auto"/>
        <w:ind w:left="284" w:right="565"/>
        <w:jc w:val="both"/>
        <w:rPr>
          <w:rFonts w:ascii="Calibri" w:hAnsi="Calibri" w:cs="Tahoma"/>
          <w:sz w:val="22"/>
          <w:szCs w:val="22"/>
        </w:rPr>
      </w:pPr>
    </w:p>
    <w:p w:rsidR="007E0A69" w:rsidRDefault="007E0A69" w:rsidP="00792A65">
      <w:pPr>
        <w:spacing w:line="276" w:lineRule="auto"/>
        <w:ind w:left="284" w:right="565"/>
        <w:jc w:val="both"/>
        <w:rPr>
          <w:rFonts w:ascii="Calibri" w:hAnsi="Calibri" w:cs="Tahoma"/>
          <w:sz w:val="22"/>
          <w:szCs w:val="22"/>
        </w:rPr>
      </w:pPr>
      <w:r w:rsidRPr="00792A65">
        <w:rPr>
          <w:rFonts w:ascii="Calibri" w:hAnsi="Calibri" w:cs="Tahoma"/>
          <w:b/>
          <w:sz w:val="22"/>
          <w:szCs w:val="22"/>
        </w:rPr>
        <w:t>Dipartimento Risorse Umane</w:t>
      </w:r>
      <w:r w:rsidRPr="00792A65">
        <w:rPr>
          <w:rFonts w:ascii="Calibri" w:hAnsi="Calibri" w:cs="Tahoma"/>
          <w:sz w:val="22"/>
          <w:szCs w:val="22"/>
        </w:rPr>
        <w:t>: definisce ed aggiorna il format della scheda C e ne verifica compilazione ed accettazione</w:t>
      </w:r>
      <w:r>
        <w:rPr>
          <w:rFonts w:ascii="Calibri" w:hAnsi="Calibri" w:cs="Tahoma"/>
          <w:sz w:val="22"/>
          <w:szCs w:val="22"/>
        </w:rPr>
        <w:t>;</w:t>
      </w:r>
    </w:p>
    <w:p w:rsidR="007E0A69" w:rsidRPr="00792A65" w:rsidRDefault="007E0A69" w:rsidP="00792A65">
      <w:pPr>
        <w:spacing w:line="276" w:lineRule="auto"/>
        <w:ind w:left="284" w:right="565"/>
        <w:jc w:val="both"/>
        <w:rPr>
          <w:rFonts w:ascii="Calibri" w:hAnsi="Calibri" w:cs="Tahoma"/>
          <w:sz w:val="22"/>
          <w:szCs w:val="22"/>
        </w:rPr>
      </w:pPr>
    </w:p>
    <w:p w:rsidR="007E0A69"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b/>
          <w:sz w:val="22"/>
          <w:szCs w:val="22"/>
        </w:rPr>
        <w:t>Direttore di Dipartimento</w:t>
      </w:r>
      <w:r w:rsidRPr="00792A65">
        <w:rPr>
          <w:rFonts w:ascii="Calibri" w:hAnsi="Calibri" w:cs="Tahoma"/>
          <w:sz w:val="22"/>
          <w:szCs w:val="22"/>
        </w:rPr>
        <w:t xml:space="preserve">: contratta con la Direzione Aziendale il budget (le risorse e gli obiettivi) e lo alloca nel Dipartimento sentite le Aree, se previste, oppure le SOC e SOSd; negozia con i Direttori di Area  (o Direttori di SOC, SOSd e SOS) le rispettive schede di budget, effettua le verifiche periodiche </w:t>
      </w:r>
      <w:r w:rsidRPr="00792A65">
        <w:rPr>
          <w:rFonts w:ascii="Calibri" w:hAnsi="Calibri" w:cs="Tahoma"/>
          <w:sz w:val="22"/>
          <w:szCs w:val="22"/>
        </w:rPr>
        <w:lastRenderedPageBreak/>
        <w:t xml:space="preserve">sull’andamento complessivo delle attività di dipartimento, concorda le azioni correttive da intraprendere e ne controlla lo stato di avanzamento; chiede alla Direzione Aziendale la revisione del budget di dipartimento o di Area, ha facoltà di delegare tale attività alla SOC </w:t>
      </w:r>
      <w:proofErr w:type="spellStart"/>
      <w:r w:rsidRPr="00792A65">
        <w:rPr>
          <w:rFonts w:ascii="Calibri" w:hAnsi="Calibri" w:cs="Tahoma"/>
          <w:sz w:val="22"/>
          <w:szCs w:val="22"/>
        </w:rPr>
        <w:t>Controlling</w:t>
      </w:r>
      <w:proofErr w:type="spellEnd"/>
      <w:r w:rsidRPr="00792A65">
        <w:rPr>
          <w:rFonts w:ascii="Calibri" w:hAnsi="Calibri" w:cs="Tahoma"/>
          <w:sz w:val="22"/>
          <w:szCs w:val="22"/>
        </w:rPr>
        <w:t xml:space="preserve"> ed alle strutture afferenti allo Staff della Direzione Sanitaria, pur mantenendone sempre la responsabilità e titolarità;</w:t>
      </w:r>
    </w:p>
    <w:p w:rsidR="007E0A69" w:rsidRDefault="007E0A69" w:rsidP="00FC33F7">
      <w:pPr>
        <w:spacing w:line="276" w:lineRule="auto"/>
        <w:ind w:left="284" w:right="565"/>
        <w:jc w:val="both"/>
        <w:rPr>
          <w:rFonts w:ascii="Calibri" w:hAnsi="Calibri" w:cs="Tahoma"/>
          <w:b/>
          <w:bCs/>
          <w:sz w:val="22"/>
          <w:szCs w:val="22"/>
          <w:highlight w:val="yellow"/>
        </w:rPr>
      </w:pPr>
    </w:p>
    <w:p w:rsidR="007E0A69" w:rsidRPr="00792A65" w:rsidRDefault="007E0A69" w:rsidP="00FC33F7">
      <w:pPr>
        <w:spacing w:line="276" w:lineRule="auto"/>
        <w:ind w:left="284" w:right="565"/>
        <w:jc w:val="both"/>
        <w:rPr>
          <w:rFonts w:ascii="Calibri" w:hAnsi="Calibri" w:cs="Tahoma"/>
          <w:sz w:val="22"/>
          <w:szCs w:val="22"/>
        </w:rPr>
      </w:pPr>
      <w:r w:rsidRPr="00364A12">
        <w:rPr>
          <w:rFonts w:ascii="Calibri" w:hAnsi="Calibri" w:cs="Tahoma"/>
          <w:b/>
          <w:bCs/>
          <w:sz w:val="22"/>
          <w:szCs w:val="22"/>
        </w:rPr>
        <w:t>Direttore della società</w:t>
      </w:r>
      <w:r w:rsidRPr="00364A12">
        <w:rPr>
          <w:rFonts w:ascii="Calibri" w:hAnsi="Calibri" w:cs="Tahoma"/>
          <w:bCs/>
          <w:sz w:val="22"/>
          <w:szCs w:val="22"/>
        </w:rPr>
        <w:t xml:space="preserve"> </w:t>
      </w:r>
      <w:r w:rsidRPr="00364A12">
        <w:rPr>
          <w:rFonts w:ascii="Calibri" w:hAnsi="Calibri" w:cs="Tahoma"/>
          <w:b/>
          <w:bCs/>
          <w:sz w:val="22"/>
          <w:szCs w:val="22"/>
        </w:rPr>
        <w:t>della salute</w:t>
      </w:r>
      <w:r w:rsidRPr="00364A12">
        <w:rPr>
          <w:rFonts w:ascii="Calibri" w:hAnsi="Calibri" w:cs="Tahoma"/>
          <w:bCs/>
          <w:sz w:val="22"/>
          <w:szCs w:val="22"/>
        </w:rPr>
        <w:t xml:space="preserve"> / </w:t>
      </w:r>
      <w:r w:rsidRPr="00364A12">
        <w:rPr>
          <w:rFonts w:ascii="Calibri" w:hAnsi="Calibri" w:cs="Tahoma"/>
          <w:b/>
          <w:bCs/>
          <w:sz w:val="22"/>
          <w:szCs w:val="22"/>
        </w:rPr>
        <w:t>Direttore della zona distretto</w:t>
      </w:r>
      <w:r w:rsidRPr="00364A12">
        <w:rPr>
          <w:rFonts w:ascii="Calibri" w:hAnsi="Calibri" w:cs="Tahoma"/>
          <w:bCs/>
          <w:sz w:val="22"/>
          <w:szCs w:val="22"/>
        </w:rPr>
        <w:t xml:space="preserve"> dell'Azienda elabora il Piano integrato di salute e il Piano di inclusione zonale.</w:t>
      </w:r>
      <w:r>
        <w:rPr>
          <w:rFonts w:ascii="Calibri" w:hAnsi="Calibri" w:cs="Tahoma"/>
          <w:bCs/>
          <w:sz w:val="22"/>
          <w:szCs w:val="22"/>
        </w:rPr>
        <w:t xml:space="preserve">  </w:t>
      </w:r>
    </w:p>
    <w:p w:rsidR="007E0A69" w:rsidRPr="00792A65" w:rsidRDefault="007E0A69" w:rsidP="00792A65">
      <w:pPr>
        <w:pStyle w:val="Corpodeltesto2"/>
        <w:spacing w:line="276" w:lineRule="auto"/>
        <w:ind w:left="284" w:right="565"/>
        <w:rPr>
          <w:rFonts w:ascii="Calibri" w:hAnsi="Calibri" w:cs="Tahoma"/>
          <w:sz w:val="22"/>
          <w:szCs w:val="22"/>
        </w:rPr>
      </w:pPr>
    </w:p>
    <w:p w:rsidR="007E0A69" w:rsidRPr="00792A65" w:rsidRDefault="007E0A69" w:rsidP="00792A65">
      <w:pPr>
        <w:spacing w:line="276" w:lineRule="auto"/>
        <w:ind w:left="284" w:right="565"/>
        <w:jc w:val="both"/>
        <w:rPr>
          <w:rFonts w:ascii="Calibri" w:hAnsi="Calibri" w:cs="Tahoma"/>
          <w:bCs/>
          <w:sz w:val="22"/>
          <w:szCs w:val="22"/>
        </w:rPr>
      </w:pPr>
      <w:r w:rsidRPr="00792A65">
        <w:rPr>
          <w:rFonts w:ascii="Calibri" w:hAnsi="Calibri" w:cs="Tahoma"/>
          <w:b/>
          <w:sz w:val="22"/>
          <w:szCs w:val="22"/>
        </w:rPr>
        <w:t>Comitato Budget</w:t>
      </w:r>
      <w:r w:rsidRPr="00792A65">
        <w:rPr>
          <w:rFonts w:ascii="Calibri" w:hAnsi="Calibri" w:cs="Tahoma"/>
          <w:bCs/>
          <w:sz w:val="22"/>
          <w:szCs w:val="22"/>
        </w:rPr>
        <w:t xml:space="preserve">: </w:t>
      </w:r>
      <w:r>
        <w:rPr>
          <w:rFonts w:ascii="Calibri" w:hAnsi="Calibri" w:cs="Tahoma"/>
          <w:bCs/>
          <w:sz w:val="22"/>
          <w:szCs w:val="22"/>
        </w:rPr>
        <w:t xml:space="preserve">formato dalla SOC </w:t>
      </w:r>
      <w:proofErr w:type="spellStart"/>
      <w:r>
        <w:rPr>
          <w:rFonts w:ascii="Calibri" w:hAnsi="Calibri" w:cs="Tahoma"/>
          <w:bCs/>
          <w:sz w:val="22"/>
          <w:szCs w:val="22"/>
        </w:rPr>
        <w:t>Controlling</w:t>
      </w:r>
      <w:proofErr w:type="spellEnd"/>
      <w:r>
        <w:rPr>
          <w:rFonts w:ascii="Calibri" w:hAnsi="Calibri" w:cs="Tahoma"/>
          <w:bCs/>
          <w:sz w:val="22"/>
          <w:szCs w:val="22"/>
        </w:rPr>
        <w:t>, dalla SOC Analisi dati attività sanitaria, dalla SOC Farm</w:t>
      </w:r>
      <w:r w:rsidR="00FE26E8">
        <w:rPr>
          <w:rFonts w:ascii="Calibri" w:hAnsi="Calibri" w:cs="Tahoma"/>
          <w:bCs/>
          <w:sz w:val="22"/>
          <w:szCs w:val="22"/>
        </w:rPr>
        <w:t>acia Ospedaliera, dalla SOC Far</w:t>
      </w:r>
      <w:r>
        <w:rPr>
          <w:rFonts w:ascii="Calibri" w:hAnsi="Calibri" w:cs="Tahoma"/>
          <w:bCs/>
          <w:sz w:val="22"/>
          <w:szCs w:val="22"/>
        </w:rPr>
        <w:t xml:space="preserve">macia Territoriale, dalla </w:t>
      </w:r>
      <w:r w:rsidRPr="00BB35FB">
        <w:rPr>
          <w:rFonts w:ascii="Calibri" w:hAnsi="Calibri" w:cs="Tahoma"/>
          <w:bCs/>
          <w:sz w:val="22"/>
          <w:szCs w:val="22"/>
        </w:rPr>
        <w:t>SOC Governance Farmaceutica e Appropriatezza prescrittiva</w:t>
      </w:r>
      <w:r>
        <w:rPr>
          <w:rFonts w:ascii="Calibri" w:hAnsi="Calibri" w:cs="Tahoma"/>
          <w:bCs/>
          <w:sz w:val="22"/>
          <w:szCs w:val="22"/>
        </w:rPr>
        <w:t xml:space="preserve"> e programmazione operativa e dall’Area Pianificazione ed Analisi Performance Sanitaria, </w:t>
      </w:r>
      <w:r w:rsidRPr="00792A65">
        <w:rPr>
          <w:rFonts w:ascii="Calibri" w:hAnsi="Calibri" w:cs="Tahoma"/>
          <w:bCs/>
          <w:sz w:val="22"/>
          <w:szCs w:val="22"/>
        </w:rPr>
        <w:t xml:space="preserve">rende operative le scelte strategiche della Direzione Aziendale nel processo di negoziazione del budget. Tale supporto riguarda l’elaborazione dei programmi di attività che poi costituiranno la parte in ingresso del processo di negoziazione e che poi confluirà nei documenti nominali di budget. Il Comitato discute in particolare la ripartizione e gestione del budget annuale presidia il monitoraggio e gli eventuali aggiustamenti di programmazione o di risultato atteso che si rendano necessari alla presenza di mutamenti di contesto che determinino scostamenti rilevanti rispetto agli obiettivi prefissati. </w:t>
      </w:r>
    </w:p>
    <w:p w:rsidR="007E0A69" w:rsidRPr="00792A65" w:rsidRDefault="007E0A69" w:rsidP="00792A65">
      <w:pPr>
        <w:pStyle w:val="Corpodeltesto2"/>
        <w:spacing w:line="276" w:lineRule="auto"/>
        <w:ind w:left="284" w:right="565"/>
        <w:rPr>
          <w:rFonts w:ascii="Calibri" w:hAnsi="Calibri" w:cs="Tahoma"/>
          <w:b/>
          <w:sz w:val="22"/>
          <w:szCs w:val="22"/>
        </w:rPr>
      </w:pP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b/>
          <w:sz w:val="22"/>
          <w:szCs w:val="22"/>
        </w:rPr>
        <w:t>Direttore di Area</w:t>
      </w:r>
      <w:r w:rsidRPr="00792A65">
        <w:rPr>
          <w:rFonts w:ascii="Calibri" w:hAnsi="Calibri" w:cs="Tahoma"/>
          <w:sz w:val="22"/>
          <w:szCs w:val="22"/>
        </w:rPr>
        <w:t>: contratta con il Direttore di Dipartimento il budget (le risorse e gli obiettivi) e lo alloca nell’Area sentite le SOC/SOS; negozia con i Direttori di SOC, SOSd e SOS le rispettive schede di budget, effettua le verifiche periodiche sull’andamento complessivo delle attività dell’Area, concorda le azioni correttive da intraprendere e ne controlla lo stato di avanzamento</w:t>
      </w:r>
    </w:p>
    <w:p w:rsidR="007E0A69" w:rsidRPr="00792A65" w:rsidRDefault="007E0A69" w:rsidP="00792A65">
      <w:pPr>
        <w:pStyle w:val="Corpodeltesto2"/>
        <w:spacing w:line="276" w:lineRule="auto"/>
        <w:ind w:left="284" w:right="565"/>
        <w:rPr>
          <w:rFonts w:ascii="Calibri" w:hAnsi="Calibri" w:cs="Tahoma"/>
          <w:b/>
          <w:sz w:val="22"/>
          <w:szCs w:val="22"/>
        </w:rPr>
      </w:pP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b/>
          <w:sz w:val="22"/>
          <w:szCs w:val="22"/>
        </w:rPr>
        <w:t>Direttore di Struttura Operativa Complessa</w:t>
      </w:r>
      <w:r w:rsidRPr="00792A65">
        <w:rPr>
          <w:rFonts w:ascii="Calibri" w:hAnsi="Calibri" w:cs="Tahoma"/>
          <w:sz w:val="22"/>
          <w:szCs w:val="22"/>
        </w:rPr>
        <w:t xml:space="preserve"> (SOC e UFC) </w:t>
      </w:r>
      <w:r w:rsidRPr="00792A65">
        <w:rPr>
          <w:rFonts w:ascii="Calibri" w:hAnsi="Calibri" w:cs="Tahoma"/>
          <w:b/>
          <w:sz w:val="22"/>
          <w:szCs w:val="22"/>
        </w:rPr>
        <w:t xml:space="preserve"> e Semplice Dipartimentale</w:t>
      </w:r>
      <w:r w:rsidRPr="00792A65">
        <w:rPr>
          <w:rFonts w:ascii="Calibri" w:hAnsi="Calibri" w:cs="Tahoma"/>
          <w:sz w:val="22"/>
          <w:szCs w:val="22"/>
        </w:rPr>
        <w:t xml:space="preserve"> </w:t>
      </w:r>
      <w:r w:rsidRPr="00792A65">
        <w:rPr>
          <w:rFonts w:ascii="Calibri" w:hAnsi="Calibri" w:cs="Tahoma"/>
          <w:b/>
          <w:sz w:val="22"/>
          <w:szCs w:val="22"/>
        </w:rPr>
        <w:t>(SOSd)</w:t>
      </w:r>
      <w:r w:rsidRPr="00792A65">
        <w:rPr>
          <w:rFonts w:ascii="Calibri" w:hAnsi="Calibri" w:cs="Tahoma"/>
          <w:b/>
          <w:color w:val="FF00FF"/>
          <w:sz w:val="22"/>
          <w:szCs w:val="22"/>
        </w:rPr>
        <w:t xml:space="preserve">  </w:t>
      </w:r>
      <w:r w:rsidRPr="00792A65">
        <w:rPr>
          <w:rFonts w:ascii="Calibri" w:hAnsi="Calibri" w:cs="Tahoma"/>
          <w:sz w:val="22"/>
          <w:szCs w:val="22"/>
        </w:rPr>
        <w:t>rileva e analizza la domanda evidenziando i miglioramenti realizzabili nella efficienza, efficacia e nella qualità delle prestazioni appropriate e necessarie, individua i prevedibili sviluppi del proprio settore in termini di modificazioni dell’offerta</w:t>
      </w:r>
      <w:r w:rsidRPr="00792A65">
        <w:rPr>
          <w:rFonts w:ascii="Calibri" w:hAnsi="Calibri" w:cs="Tahoma"/>
          <w:color w:val="0000FF"/>
          <w:sz w:val="22"/>
          <w:szCs w:val="22"/>
        </w:rPr>
        <w:t xml:space="preserve"> </w:t>
      </w:r>
      <w:r w:rsidRPr="00792A65">
        <w:rPr>
          <w:rFonts w:ascii="Calibri" w:hAnsi="Calibri" w:cs="Tahoma"/>
          <w:sz w:val="22"/>
          <w:szCs w:val="22"/>
        </w:rPr>
        <w:t>e/o d’introduzione di nuove metodiche e strumentazioni impiegate; negozia con il Direttore di Dipartimento o di Area la proposta di budget in relazione alla propria UO; esegue le attività programmate per il raggiungimento degli obiettivi stabiliti nel budget di Dipartimento per la</w:t>
      </w:r>
      <w:r w:rsidRPr="00792A65">
        <w:rPr>
          <w:rFonts w:ascii="Calibri" w:hAnsi="Calibri" w:cs="Tahoma"/>
          <w:color w:val="0000FF"/>
          <w:sz w:val="22"/>
          <w:szCs w:val="22"/>
        </w:rPr>
        <w:t xml:space="preserve"> </w:t>
      </w:r>
      <w:r w:rsidRPr="00792A65">
        <w:rPr>
          <w:rFonts w:ascii="Calibri" w:hAnsi="Calibri" w:cs="Tahoma"/>
          <w:sz w:val="22"/>
          <w:szCs w:val="22"/>
        </w:rPr>
        <w:t>parte di competenza; assegna gli obiettivi al personale della propria struttura, predispone la proposta di variazione del budget dell’Unità Operativa, monitorizza l’andamento e verifica i risultati.</w:t>
      </w:r>
    </w:p>
    <w:p w:rsidR="007E0A69" w:rsidRPr="00792A65" w:rsidRDefault="007E0A69" w:rsidP="00792A65">
      <w:pPr>
        <w:pStyle w:val="Corpotesto1"/>
        <w:spacing w:line="276" w:lineRule="auto"/>
        <w:ind w:left="284" w:right="565"/>
        <w:jc w:val="both"/>
        <w:rPr>
          <w:rFonts w:ascii="Calibri" w:hAnsi="Calibri" w:cs="Tahoma"/>
          <w:sz w:val="22"/>
          <w:szCs w:val="22"/>
        </w:rPr>
      </w:pP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b/>
          <w:sz w:val="22"/>
          <w:szCs w:val="22"/>
        </w:rPr>
        <w:t>Collegio di Direzione</w:t>
      </w:r>
      <w:r w:rsidRPr="00792A65">
        <w:rPr>
          <w:rFonts w:ascii="Calibri" w:hAnsi="Calibri" w:cs="Tahoma"/>
          <w:sz w:val="22"/>
          <w:szCs w:val="22"/>
        </w:rPr>
        <w:t>: visti gli obiettivi strategici aziendali, coadiuva la Direzione Aziendale nell’individuazione di modelli organizzativi, di soluzioni innovative, di programmi di formazione, di organizzazione dei servizi al fine del raggiungimento degli stessi.</w:t>
      </w:r>
    </w:p>
    <w:p w:rsidR="007E0A69" w:rsidRPr="00792A65" w:rsidRDefault="007E0A69" w:rsidP="00792A65">
      <w:pPr>
        <w:pStyle w:val="Corpodeltesto2"/>
        <w:spacing w:line="276" w:lineRule="auto"/>
        <w:ind w:left="284" w:right="565"/>
        <w:rPr>
          <w:rFonts w:ascii="Calibri" w:hAnsi="Calibri" w:cs="Tahoma"/>
          <w:sz w:val="22"/>
          <w:szCs w:val="22"/>
        </w:rPr>
      </w:pP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b/>
          <w:bCs/>
          <w:sz w:val="22"/>
          <w:szCs w:val="22"/>
        </w:rPr>
        <w:t>Organismo Indipendente di Valutazione (OIV)</w:t>
      </w:r>
      <w:r w:rsidRPr="00792A65">
        <w:rPr>
          <w:rFonts w:ascii="Calibri" w:hAnsi="Calibri" w:cs="Tahoma"/>
          <w:bCs/>
          <w:sz w:val="22"/>
          <w:szCs w:val="22"/>
        </w:rPr>
        <w:t xml:space="preserve"> es</w:t>
      </w:r>
      <w:r w:rsidRPr="00792A65">
        <w:rPr>
          <w:rFonts w:ascii="Calibri" w:hAnsi="Calibri" w:cs="Tahoma"/>
          <w:sz w:val="22"/>
          <w:szCs w:val="22"/>
        </w:rPr>
        <w:t>ercita le attività di valutazione e controllo strategico al fine di verificare l’effettiva attuazione – da parte della dirigenza - delle scelte contenute nelle direttive e negli atti di indirizzo della Direzione Generale.</w:t>
      </w: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sz w:val="22"/>
          <w:szCs w:val="22"/>
        </w:rPr>
        <w:t>Tale attività consiste, ai sensi dell’art. 6, comma 1, del D.Lgs 286/1999, “</w:t>
      </w:r>
      <w:r w:rsidRPr="00792A65">
        <w:rPr>
          <w:rFonts w:ascii="Calibri" w:hAnsi="Calibri" w:cs="Tahoma"/>
          <w:i/>
          <w:iCs/>
          <w:sz w:val="22"/>
          <w:szCs w:val="22"/>
        </w:rPr>
        <w:t>nell’analisi, preventiva e successiva, della congruenza e/o degli eventuali scostamenti tra le missioni affidate dalle norme, gli obiettivi operativi prescelti, le scelte operative effettuate e le risorse umane, finanziarie e materiali assegnate, nonché nella identificazione degli eventuali fattori ostativi, delle eventuali responsabilità per la mancata o parziale attuazione, dei possibili rimedi</w:t>
      </w:r>
      <w:r w:rsidRPr="00792A65">
        <w:rPr>
          <w:rFonts w:ascii="Calibri" w:hAnsi="Calibri" w:cs="Tahoma"/>
          <w:sz w:val="22"/>
          <w:szCs w:val="22"/>
        </w:rPr>
        <w:t>”. In merito alla predetta funzione l’Organismo di valutazione Aziendale riferisce direttamente al Direttore Generale. Monitora il funzionamento complessivo del sistema di misurazione e valutazione.</w:t>
      </w: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sz w:val="22"/>
          <w:szCs w:val="22"/>
        </w:rPr>
        <w:lastRenderedPageBreak/>
        <w:t xml:space="preserve">Garantisce la correttezza dei processi di valutazione. Verifica il grado di raggiungimento degli obiettivi di budget di ciascuna struttura organizzativa aziendale con autonomia organizzativo-gestionale, sulla base delle risultanze del controllo di gestione aziendale di cui la SOC Analisi dati attività sanitaria e programmazione operativa è parte integrante, del sistema di valutazione del SSRT affidato al Laboratorio </w:t>
      </w:r>
      <w:proofErr w:type="spellStart"/>
      <w:r w:rsidRPr="00792A65">
        <w:rPr>
          <w:rFonts w:ascii="Calibri" w:hAnsi="Calibri" w:cs="Tahoma"/>
          <w:sz w:val="22"/>
          <w:szCs w:val="22"/>
        </w:rPr>
        <w:t>MeS</w:t>
      </w:r>
      <w:proofErr w:type="spellEnd"/>
      <w:r w:rsidRPr="00792A65">
        <w:rPr>
          <w:rFonts w:ascii="Calibri" w:hAnsi="Calibri" w:cs="Tahoma"/>
          <w:sz w:val="22"/>
          <w:szCs w:val="22"/>
        </w:rPr>
        <w:t xml:space="preserve"> (Laboratorio Management e Sanità)  della Scuola Superiore Sant’Anna di Pisa e per quanto concerne gli esiti si riferisce al Piano Regionale di osservazione degli esiti (PROSE) dell’Agenzia regionale di sanità Toscana.</w:t>
      </w: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sz w:val="22"/>
          <w:szCs w:val="22"/>
        </w:rPr>
        <w:t>Propone al Direttore Generale i riscontri effettuati in merito alla valutazione annuale dei Direttori di Dipartimento e di U</w:t>
      </w:r>
      <w:r>
        <w:rPr>
          <w:rFonts w:ascii="Calibri" w:hAnsi="Calibri" w:cs="Tahoma"/>
          <w:sz w:val="22"/>
          <w:szCs w:val="22"/>
        </w:rPr>
        <w:t>F</w:t>
      </w:r>
      <w:r w:rsidRPr="00792A65">
        <w:rPr>
          <w:rFonts w:ascii="Calibri" w:hAnsi="Calibri" w:cs="Tahoma"/>
          <w:sz w:val="22"/>
          <w:szCs w:val="22"/>
        </w:rPr>
        <w:t>C/U</w:t>
      </w:r>
      <w:r>
        <w:rPr>
          <w:rFonts w:ascii="Calibri" w:hAnsi="Calibri" w:cs="Tahoma"/>
          <w:sz w:val="22"/>
          <w:szCs w:val="22"/>
        </w:rPr>
        <w:t>F</w:t>
      </w:r>
      <w:r w:rsidRPr="00792A65">
        <w:rPr>
          <w:rFonts w:ascii="Calibri" w:hAnsi="Calibri" w:cs="Tahoma"/>
          <w:sz w:val="22"/>
          <w:szCs w:val="22"/>
        </w:rPr>
        <w:t>S</w:t>
      </w:r>
      <w:r>
        <w:rPr>
          <w:rFonts w:ascii="Calibri" w:hAnsi="Calibri" w:cs="Tahoma"/>
          <w:sz w:val="22"/>
          <w:szCs w:val="22"/>
        </w:rPr>
        <w:t xml:space="preserve"> e Direttori di Zona Distretto</w:t>
      </w:r>
      <w:r w:rsidRPr="00792A65">
        <w:rPr>
          <w:rFonts w:ascii="Calibri" w:hAnsi="Calibri" w:cs="Tahoma"/>
          <w:sz w:val="22"/>
          <w:szCs w:val="22"/>
        </w:rPr>
        <w:t xml:space="preserve">, sulla base delle risultanze del controllo di gestione aziendale, del sistema di valutazione del </w:t>
      </w:r>
      <w:proofErr w:type="spellStart"/>
      <w:r w:rsidRPr="00792A65">
        <w:rPr>
          <w:rFonts w:ascii="Calibri" w:hAnsi="Calibri" w:cs="Tahoma"/>
          <w:sz w:val="22"/>
          <w:szCs w:val="22"/>
        </w:rPr>
        <w:t>MeS</w:t>
      </w:r>
      <w:proofErr w:type="spellEnd"/>
      <w:r w:rsidRPr="00792A65">
        <w:rPr>
          <w:rFonts w:ascii="Calibri" w:hAnsi="Calibri" w:cs="Tahoma"/>
          <w:sz w:val="22"/>
          <w:szCs w:val="22"/>
        </w:rPr>
        <w:t xml:space="preserve"> della S.S. Sant’Anna di Pisa e del sistema di valutazione aziendale. Il Collegamento tra l'OIV e le strutture tecniche aziendali di supporto è garantito dal Direttore Sanitario e dal Direttore Amministrativo.</w:t>
      </w:r>
    </w:p>
    <w:p w:rsidR="007E0A69" w:rsidRPr="00792A65" w:rsidRDefault="007E0A69" w:rsidP="00792A65">
      <w:pPr>
        <w:pStyle w:val="Corpodeltesto2"/>
        <w:spacing w:line="276" w:lineRule="auto"/>
        <w:ind w:left="284" w:right="565"/>
        <w:rPr>
          <w:rFonts w:ascii="Calibri" w:hAnsi="Calibri" w:cs="Tahoma"/>
          <w:sz w:val="22"/>
          <w:szCs w:val="22"/>
        </w:rPr>
      </w:pPr>
    </w:p>
    <w:p w:rsidR="007E0A69" w:rsidRDefault="007E0A69">
      <w:pPr>
        <w:rPr>
          <w:rFonts w:ascii="Calibri" w:hAnsi="Calibri"/>
          <w:b/>
          <w:caps/>
          <w:sz w:val="22"/>
          <w:szCs w:val="22"/>
        </w:rPr>
      </w:pPr>
      <w:bookmarkStart w:id="10" w:name="_Toc371328668"/>
    </w:p>
    <w:p w:rsidR="007E0A69" w:rsidRPr="00792A65" w:rsidRDefault="007E0A69" w:rsidP="00BD2B7B">
      <w:pPr>
        <w:pStyle w:val="Titolo1"/>
        <w:numPr>
          <w:ilvl w:val="0"/>
          <w:numId w:val="5"/>
        </w:numPr>
        <w:ind w:left="284" w:right="565"/>
        <w:rPr>
          <w:rFonts w:ascii="Calibri" w:hAnsi="Calibri"/>
          <w:caps/>
          <w:sz w:val="22"/>
          <w:szCs w:val="22"/>
        </w:rPr>
      </w:pPr>
      <w:bookmarkStart w:id="11" w:name="_Toc72510515"/>
      <w:r w:rsidRPr="00792A65">
        <w:rPr>
          <w:rFonts w:ascii="Calibri" w:hAnsi="Calibri"/>
          <w:caps/>
          <w:sz w:val="22"/>
          <w:szCs w:val="22"/>
        </w:rPr>
        <w:t>Le fasi del processo di Budget</w:t>
      </w:r>
      <w:bookmarkEnd w:id="11"/>
    </w:p>
    <w:p w:rsidR="007E0A69" w:rsidRPr="00792A65" w:rsidRDefault="007E0A69" w:rsidP="00792A65">
      <w:pPr>
        <w:pStyle w:val="Titolo1"/>
        <w:tabs>
          <w:tab w:val="clear" w:pos="360"/>
        </w:tabs>
        <w:ind w:left="284" w:right="565" w:firstLine="0"/>
        <w:rPr>
          <w:rFonts w:ascii="Calibri" w:hAnsi="Calibri"/>
          <w:caps/>
          <w:sz w:val="22"/>
          <w:szCs w:val="22"/>
        </w:rPr>
      </w:pPr>
      <w:r w:rsidRPr="00792A65">
        <w:rPr>
          <w:rFonts w:ascii="Calibri" w:hAnsi="Calibri"/>
          <w:caps/>
          <w:sz w:val="22"/>
          <w:szCs w:val="22"/>
        </w:rPr>
        <w:t xml:space="preserve"> </w:t>
      </w:r>
      <w:bookmarkEnd w:id="10"/>
    </w:p>
    <w:p w:rsidR="007E0A69" w:rsidRPr="00792A65" w:rsidRDefault="007E0A69" w:rsidP="004C7337">
      <w:pPr>
        <w:pStyle w:val="Corpotesto1"/>
        <w:spacing w:line="276" w:lineRule="auto"/>
        <w:ind w:left="284" w:right="565"/>
        <w:jc w:val="both"/>
        <w:rPr>
          <w:rFonts w:ascii="Calibri" w:hAnsi="Calibri" w:cs="Tahoma"/>
          <w:sz w:val="22"/>
          <w:szCs w:val="22"/>
        </w:rPr>
      </w:pPr>
      <w:r w:rsidRPr="00FC33F7">
        <w:rPr>
          <w:rFonts w:ascii="Calibri" w:hAnsi="Calibri" w:cs="Tahoma"/>
          <w:sz w:val="22"/>
          <w:szCs w:val="22"/>
        </w:rPr>
        <w:t>La costruzione del Budget Aziendale per la scheda A, contenente gli obiettivi economici e la scheda B, obiettivi di attività sanitaria,  segue un processo temporalmente scandito dalle seguenti fasi:</w:t>
      </w:r>
    </w:p>
    <w:p w:rsidR="007E0A69" w:rsidRPr="00792A65" w:rsidRDefault="007E0A69" w:rsidP="00792A65">
      <w:pPr>
        <w:pStyle w:val="Corpotesto1"/>
        <w:spacing w:line="276" w:lineRule="auto"/>
        <w:ind w:left="284" w:right="565"/>
        <w:jc w:val="both"/>
        <w:rPr>
          <w:rFonts w:ascii="Calibri" w:hAnsi="Calibri" w:cs="Tahoma"/>
          <w:b/>
          <w:bCs/>
          <w:sz w:val="22"/>
          <w:szCs w:val="22"/>
        </w:rPr>
      </w:pPr>
    </w:p>
    <w:p w:rsidR="007E0A69" w:rsidRPr="00792A65" w:rsidRDefault="007E0A69" w:rsidP="00792A65">
      <w:pPr>
        <w:spacing w:line="276" w:lineRule="auto"/>
        <w:ind w:left="284" w:right="565"/>
        <w:jc w:val="both"/>
        <w:rPr>
          <w:rFonts w:ascii="Calibri" w:hAnsi="Calibri" w:cs="Tahoma"/>
          <w:b/>
          <w:bCs/>
          <w:sz w:val="22"/>
          <w:szCs w:val="22"/>
        </w:rPr>
      </w:pPr>
      <w:r w:rsidRPr="00792A65">
        <w:rPr>
          <w:rFonts w:ascii="Calibri" w:hAnsi="Calibri" w:cs="Tahoma"/>
          <w:b/>
          <w:bCs/>
          <w:sz w:val="22"/>
          <w:szCs w:val="22"/>
        </w:rPr>
        <w:t>a - Definizione obiettivi annuali.</w:t>
      </w:r>
    </w:p>
    <w:p w:rsidR="007E0A69" w:rsidRPr="00792A65" w:rsidRDefault="007E0A69" w:rsidP="00792A65">
      <w:pPr>
        <w:spacing w:line="276" w:lineRule="auto"/>
        <w:ind w:left="284" w:right="565"/>
        <w:jc w:val="both"/>
        <w:rPr>
          <w:rFonts w:ascii="Calibri" w:hAnsi="Calibri" w:cs="Tahoma"/>
          <w:sz w:val="22"/>
          <w:szCs w:val="22"/>
        </w:rPr>
      </w:pPr>
    </w:p>
    <w:p w:rsidR="007E0A69" w:rsidRPr="00792A65" w:rsidRDefault="007E0A69" w:rsidP="00BB35FB">
      <w:pPr>
        <w:spacing w:line="276" w:lineRule="auto"/>
        <w:ind w:left="284" w:right="565"/>
        <w:jc w:val="both"/>
        <w:rPr>
          <w:rFonts w:ascii="Calibri" w:hAnsi="Calibri" w:cs="Tahoma"/>
          <w:sz w:val="22"/>
          <w:szCs w:val="22"/>
        </w:rPr>
      </w:pPr>
      <w:r>
        <w:rPr>
          <w:rFonts w:ascii="Calibri" w:hAnsi="Calibri" w:cs="Tahoma"/>
          <w:sz w:val="22"/>
          <w:szCs w:val="22"/>
        </w:rPr>
        <w:t>Di norma e</w:t>
      </w:r>
      <w:r w:rsidRPr="00792A65">
        <w:rPr>
          <w:rFonts w:ascii="Calibri" w:hAnsi="Calibri" w:cs="Tahoma"/>
          <w:sz w:val="22"/>
          <w:szCs w:val="22"/>
        </w:rPr>
        <w:t>ntro il 31/12 o in subordine al momento dell’assegnazione degli obiettivi regionali alla Direzione Aziendale.</w:t>
      </w:r>
      <w:r>
        <w:rPr>
          <w:rFonts w:ascii="Calibri" w:hAnsi="Calibri" w:cs="Tahoma"/>
          <w:sz w:val="22"/>
          <w:szCs w:val="22"/>
        </w:rPr>
        <w:t xml:space="preserve"> </w:t>
      </w:r>
      <w:r w:rsidRPr="00792A65">
        <w:rPr>
          <w:rFonts w:ascii="Calibri" w:hAnsi="Calibri" w:cs="Tahoma"/>
          <w:sz w:val="22"/>
          <w:szCs w:val="22"/>
        </w:rPr>
        <w:t>La Direzione Aziendale in coerenza con quanto stabilito dal Piano Sanitario Nazionale, dal Piano Sanitario e Sociale Integrato Regionale, dagli altri atti di politica per la salute e compatibilmente alle risorse economico-finanziarie individuate dall’Azienda nel Bilancio di Previsione in linea con le direttive regionali e nazionali in materia, definisce gli obiettivi generali per l’anno successivo e ne dà comunicazione al Comitato Budget</w:t>
      </w:r>
      <w:r>
        <w:rPr>
          <w:rFonts w:ascii="Calibri" w:hAnsi="Calibri" w:cs="Tahoma"/>
          <w:sz w:val="22"/>
          <w:szCs w:val="22"/>
        </w:rPr>
        <w:t xml:space="preserve">. </w:t>
      </w:r>
      <w:r w:rsidRPr="00792A65">
        <w:rPr>
          <w:rFonts w:ascii="Calibri" w:hAnsi="Calibri" w:cs="Tahoma"/>
          <w:sz w:val="22"/>
          <w:szCs w:val="22"/>
        </w:rPr>
        <w:t>Il Comitato Budget si coordina con le strutture aziendali utili a interpretare, secondo la materia trattata, gli indirizzi della Direzione</w:t>
      </w:r>
      <w:r>
        <w:rPr>
          <w:rFonts w:ascii="Calibri" w:hAnsi="Calibri" w:cs="Tahoma"/>
          <w:sz w:val="22"/>
          <w:szCs w:val="22"/>
        </w:rPr>
        <w:t>, i</w:t>
      </w:r>
      <w:r w:rsidRPr="00792A65">
        <w:rPr>
          <w:rFonts w:ascii="Calibri" w:hAnsi="Calibri" w:cs="Tahoma"/>
          <w:sz w:val="22"/>
          <w:szCs w:val="22"/>
        </w:rPr>
        <w:t>nfine declina gli obiettivi generali definiti dalla Direzione, in obiettivi specifici di Dipartimento e di Aree, queste ultime se presenti nell’organigramma.</w:t>
      </w:r>
    </w:p>
    <w:p w:rsidR="007E0A69" w:rsidRPr="00792A65" w:rsidRDefault="007E0A69" w:rsidP="00792A65">
      <w:pPr>
        <w:pStyle w:val="Corpotesto1"/>
        <w:spacing w:line="276" w:lineRule="auto"/>
        <w:ind w:left="284" w:right="565"/>
        <w:jc w:val="both"/>
        <w:rPr>
          <w:rFonts w:ascii="Calibri" w:hAnsi="Calibri" w:cs="Tahoma"/>
          <w:b/>
          <w:bCs/>
          <w:sz w:val="22"/>
          <w:szCs w:val="22"/>
        </w:rPr>
      </w:pPr>
    </w:p>
    <w:p w:rsidR="007E0A69" w:rsidRPr="00792A65" w:rsidRDefault="007E0A69" w:rsidP="00792A65">
      <w:pPr>
        <w:pStyle w:val="Corpotesto1"/>
        <w:spacing w:line="276" w:lineRule="auto"/>
        <w:ind w:left="284" w:right="565"/>
        <w:jc w:val="both"/>
        <w:rPr>
          <w:rFonts w:ascii="Calibri" w:hAnsi="Calibri" w:cs="Tahoma"/>
          <w:sz w:val="22"/>
          <w:szCs w:val="22"/>
        </w:rPr>
      </w:pPr>
      <w:r w:rsidRPr="00792A65">
        <w:rPr>
          <w:rFonts w:ascii="Calibri" w:hAnsi="Calibri" w:cs="Tahoma"/>
          <w:b/>
          <w:bCs/>
          <w:sz w:val="22"/>
          <w:szCs w:val="22"/>
        </w:rPr>
        <w:t>b -</w:t>
      </w:r>
      <w:r w:rsidRPr="00792A65">
        <w:rPr>
          <w:rFonts w:ascii="Calibri" w:hAnsi="Calibri" w:cs="Tahoma"/>
          <w:sz w:val="22"/>
          <w:szCs w:val="22"/>
        </w:rPr>
        <w:t xml:space="preserve"> </w:t>
      </w:r>
      <w:r w:rsidRPr="00792A65">
        <w:rPr>
          <w:rFonts w:ascii="Calibri" w:hAnsi="Calibri" w:cs="Tahoma"/>
          <w:b/>
          <w:bCs/>
          <w:sz w:val="22"/>
          <w:szCs w:val="22"/>
        </w:rPr>
        <w:t>Negoziazione degli obiettivi</w:t>
      </w:r>
    </w:p>
    <w:p w:rsidR="007E0A69" w:rsidRPr="00792A65" w:rsidRDefault="007E0A69" w:rsidP="00792A65">
      <w:pPr>
        <w:spacing w:line="276" w:lineRule="auto"/>
        <w:ind w:left="284" w:right="565"/>
        <w:jc w:val="both"/>
        <w:rPr>
          <w:rFonts w:ascii="Calibri" w:hAnsi="Calibri" w:cs="Tahoma"/>
          <w:sz w:val="22"/>
          <w:szCs w:val="22"/>
        </w:rPr>
      </w:pPr>
    </w:p>
    <w:p w:rsidR="007E0A69" w:rsidRPr="00792A65" w:rsidRDefault="007E0A69" w:rsidP="00792A65">
      <w:pPr>
        <w:spacing w:line="276" w:lineRule="auto"/>
        <w:ind w:left="284" w:right="565"/>
        <w:jc w:val="both"/>
        <w:rPr>
          <w:rFonts w:ascii="Calibri" w:hAnsi="Calibri" w:cs="Tahoma"/>
          <w:sz w:val="22"/>
          <w:szCs w:val="22"/>
        </w:rPr>
      </w:pPr>
      <w:r w:rsidRPr="00A47E89">
        <w:rPr>
          <w:rFonts w:ascii="Calibri" w:hAnsi="Calibri" w:cs="Tahoma"/>
          <w:sz w:val="22"/>
          <w:szCs w:val="22"/>
        </w:rPr>
        <w:t>Di norma</w:t>
      </w:r>
      <w:r>
        <w:rPr>
          <w:rFonts w:ascii="Calibri" w:hAnsi="Calibri" w:cs="Tahoma"/>
          <w:sz w:val="22"/>
          <w:szCs w:val="22"/>
        </w:rPr>
        <w:t xml:space="preserve"> l’attività avrà inizio </w:t>
      </w:r>
      <w:r w:rsidRPr="00A47E89">
        <w:rPr>
          <w:rFonts w:ascii="Calibri" w:hAnsi="Calibri" w:cs="Tahoma"/>
          <w:sz w:val="22"/>
          <w:szCs w:val="22"/>
        </w:rPr>
        <w:t>entro il 31/1 dell’anno di budget o</w:t>
      </w:r>
      <w:r w:rsidRPr="00792A65">
        <w:rPr>
          <w:rFonts w:ascii="Calibri" w:hAnsi="Calibri" w:cs="Tahoma"/>
          <w:sz w:val="22"/>
          <w:szCs w:val="22"/>
        </w:rPr>
        <w:t xml:space="preserve"> entro 30 giorni dall’assegnazione degli obiettivi regionali.</w:t>
      </w:r>
    </w:p>
    <w:p w:rsidR="007E0A69" w:rsidRPr="00364A12" w:rsidRDefault="007E0A69" w:rsidP="00CF1E33">
      <w:pPr>
        <w:spacing w:line="276" w:lineRule="auto"/>
        <w:ind w:left="284" w:right="565"/>
        <w:jc w:val="both"/>
        <w:rPr>
          <w:rFonts w:ascii="Calibri" w:hAnsi="Calibri" w:cs="Tahoma"/>
          <w:sz w:val="22"/>
          <w:szCs w:val="22"/>
        </w:rPr>
      </w:pPr>
      <w:r w:rsidRPr="00792A65">
        <w:rPr>
          <w:rFonts w:ascii="Calibri" w:hAnsi="Calibri" w:cs="Tahoma"/>
          <w:sz w:val="22"/>
          <w:szCs w:val="22"/>
        </w:rPr>
        <w:t>Gli obiettivi, unitamente alle risorse umane e strumentali degli stessi, vengono rappresentati in due schede distinte: la A per gli obiettivi economici e la B per gli obiettivi progettuali e di attività. Tali schede vengono formalmente inviate ai Direttori di zona distretto e ai Direttori di Dipartimento e di Area, i quali valutano le proposte all’interno del Comitato di Dipartimento ed inviano eventuali osservazioni/integrazioni entro 15 giorni dal ricevimento della proposta. In caso di mancata comunicazione, gli obiettivi proposti si considerano accettati e comporranno le schede oggetto di confronto durante l’incontro di negoziazione.</w:t>
      </w:r>
      <w:r>
        <w:rPr>
          <w:rFonts w:ascii="Calibri" w:hAnsi="Calibri" w:cs="Tahoma"/>
          <w:sz w:val="22"/>
          <w:szCs w:val="22"/>
        </w:rPr>
        <w:t xml:space="preserve"> </w:t>
      </w:r>
      <w:r w:rsidRPr="00792A65">
        <w:rPr>
          <w:rFonts w:ascii="Calibri" w:hAnsi="Calibri" w:cs="Tahoma"/>
          <w:sz w:val="22"/>
          <w:szCs w:val="22"/>
        </w:rPr>
        <w:t xml:space="preserve">Il Comitato Budget valuta le proposte e invita il Direttore di Dipartimento, i Direttori di Area (se presenti), e i Responsabili di SOC, SOSd e SOS al fine di presentare ufficialmente le schede obiettivi e raccogliere la sottoscrizione, che potrà avvenire anche in modalità </w:t>
      </w:r>
      <w:r w:rsidRPr="00364A12">
        <w:rPr>
          <w:rFonts w:ascii="Calibri" w:hAnsi="Calibri" w:cs="Tahoma"/>
          <w:sz w:val="22"/>
          <w:szCs w:val="22"/>
        </w:rPr>
        <w:t>informatizzata</w:t>
      </w:r>
    </w:p>
    <w:p w:rsidR="007E0A69" w:rsidRDefault="007E0A69" w:rsidP="00AD7080">
      <w:pPr>
        <w:pStyle w:val="Corpotesto1"/>
        <w:spacing w:line="276" w:lineRule="auto"/>
        <w:ind w:left="284" w:right="565"/>
        <w:jc w:val="both"/>
        <w:rPr>
          <w:rFonts w:ascii="Calibri" w:hAnsi="Calibri" w:cs="Calibri"/>
          <w:sz w:val="22"/>
          <w:szCs w:val="22"/>
        </w:rPr>
      </w:pPr>
      <w:r w:rsidRPr="00364A12">
        <w:rPr>
          <w:rFonts w:ascii="Calibri" w:hAnsi="Calibri" w:cs="Tahoma"/>
          <w:sz w:val="22"/>
          <w:szCs w:val="22"/>
        </w:rPr>
        <w:t xml:space="preserve">Il budget della ZD – limitatamente ai livelli assistenziali soggetti alla governance indiretta - viene determinato attraverso un percorso di negoziazione che coinvolge, oltre al Direttore della ZD, i Dipartimenti aziendali interessati ed in particolare quelli territoriali (Rete Sanitaria Territoriale, Salute mentale/Dipendenze e Servizi Sociali). </w:t>
      </w:r>
      <w:r w:rsidRPr="00364A12">
        <w:rPr>
          <w:rFonts w:ascii="Calibri" w:hAnsi="Calibri" w:cs="Calibri"/>
          <w:sz w:val="22"/>
          <w:szCs w:val="22"/>
        </w:rPr>
        <w:t xml:space="preserve">Le strutture operative dell’Azienda per la gestione di queste </w:t>
      </w:r>
      <w:r w:rsidRPr="00364A12">
        <w:rPr>
          <w:rFonts w:ascii="Calibri" w:hAnsi="Calibri" w:cs="Calibri"/>
          <w:sz w:val="22"/>
          <w:szCs w:val="22"/>
        </w:rPr>
        <w:lastRenderedPageBreak/>
        <w:t xml:space="preserve">attività sono, le zone distretto.  La Zona Distretto - </w:t>
      </w:r>
      <w:proofErr w:type="spellStart"/>
      <w:r w:rsidRPr="00364A12">
        <w:rPr>
          <w:rFonts w:ascii="Calibri" w:hAnsi="Calibri" w:cs="Calibri"/>
          <w:sz w:val="22"/>
          <w:szCs w:val="22"/>
        </w:rPr>
        <w:t>SdS</w:t>
      </w:r>
      <w:proofErr w:type="spellEnd"/>
      <w:r w:rsidRPr="00364A12">
        <w:rPr>
          <w:rFonts w:ascii="Calibri" w:hAnsi="Calibri" w:cs="Calibri"/>
          <w:sz w:val="22"/>
          <w:szCs w:val="22"/>
        </w:rPr>
        <w:t xml:space="preserve"> opera attraverso un’organizzazione a matrice con i dipartimenti aziendali territoriali che garantiscono unitarietà e coerenza sul territorio della toscana centro attraverso le strutture organizzative di zona.</w:t>
      </w:r>
    </w:p>
    <w:p w:rsidR="007E0A69" w:rsidRPr="00792A65" w:rsidRDefault="007E0A69" w:rsidP="00792A65">
      <w:pPr>
        <w:ind w:left="284" w:right="565"/>
        <w:jc w:val="both"/>
        <w:rPr>
          <w:rFonts w:ascii="Calibri" w:hAnsi="Calibri" w:cs="Tahoma"/>
          <w:sz w:val="22"/>
          <w:szCs w:val="22"/>
        </w:rPr>
      </w:pPr>
    </w:p>
    <w:p w:rsidR="007E0A69" w:rsidRPr="00792A65" w:rsidRDefault="007E0A69" w:rsidP="00792A65">
      <w:pPr>
        <w:ind w:left="284" w:right="565"/>
        <w:jc w:val="both"/>
        <w:rPr>
          <w:rFonts w:ascii="Calibri" w:hAnsi="Calibri" w:cs="Tahoma"/>
          <w:b/>
          <w:bCs/>
          <w:sz w:val="22"/>
          <w:szCs w:val="22"/>
        </w:rPr>
      </w:pPr>
      <w:r w:rsidRPr="00792A65">
        <w:rPr>
          <w:rFonts w:ascii="Calibri" w:hAnsi="Calibri" w:cs="Tahoma"/>
          <w:b/>
          <w:bCs/>
          <w:sz w:val="22"/>
          <w:szCs w:val="22"/>
        </w:rPr>
        <w:t>c - Monitoraggio e verifiche intermedie</w:t>
      </w:r>
    </w:p>
    <w:p w:rsidR="007E0A69" w:rsidRPr="00792A65" w:rsidRDefault="007E0A69" w:rsidP="00792A65">
      <w:pPr>
        <w:ind w:left="284" w:right="565"/>
        <w:jc w:val="both"/>
        <w:rPr>
          <w:rFonts w:ascii="Calibri" w:hAnsi="Calibri" w:cs="Tahoma"/>
          <w:sz w:val="22"/>
          <w:szCs w:val="22"/>
        </w:rPr>
      </w:pPr>
    </w:p>
    <w:p w:rsidR="007E0A69" w:rsidRPr="00792A65" w:rsidRDefault="007E0A69" w:rsidP="006A34E4">
      <w:pPr>
        <w:spacing w:line="276" w:lineRule="auto"/>
        <w:ind w:left="284" w:right="565"/>
        <w:jc w:val="both"/>
        <w:rPr>
          <w:rFonts w:ascii="Calibri" w:hAnsi="Calibri" w:cs="Tahoma"/>
          <w:sz w:val="22"/>
          <w:szCs w:val="22"/>
        </w:rPr>
      </w:pPr>
      <w:r w:rsidRPr="00792A65">
        <w:rPr>
          <w:rFonts w:ascii="Calibri" w:hAnsi="Calibri" w:cs="Tahoma"/>
          <w:sz w:val="22"/>
          <w:szCs w:val="22"/>
        </w:rPr>
        <w:t xml:space="preserve">Il Comitato Budget coordina al monitoraggio e alla verifica dell’andamento degli obiettivi inviando le schede di monitoraggio ai Direttori di struttura titolari di budget, per le schede economiche. Per gli obiettivi di attività è predisposta una piattaforma di monitoraggio aziendale web </w:t>
      </w:r>
      <w:proofErr w:type="spellStart"/>
      <w:r w:rsidRPr="00792A65">
        <w:rPr>
          <w:rFonts w:ascii="Calibri" w:hAnsi="Calibri" w:cs="Tahoma"/>
          <w:sz w:val="22"/>
          <w:szCs w:val="22"/>
        </w:rPr>
        <w:t>appl</w:t>
      </w:r>
      <w:r>
        <w:rPr>
          <w:rFonts w:ascii="Calibri" w:hAnsi="Calibri" w:cs="Tahoma"/>
          <w:sz w:val="22"/>
          <w:szCs w:val="22"/>
        </w:rPr>
        <w:t>ication</w:t>
      </w:r>
      <w:proofErr w:type="spellEnd"/>
      <w:r>
        <w:rPr>
          <w:rFonts w:ascii="Calibri" w:hAnsi="Calibri" w:cs="Tahoma"/>
          <w:sz w:val="22"/>
          <w:szCs w:val="22"/>
        </w:rPr>
        <w:t xml:space="preserve"> budget (WAB) dove i </w:t>
      </w:r>
      <w:proofErr w:type="spellStart"/>
      <w:r>
        <w:rPr>
          <w:rFonts w:ascii="Calibri" w:hAnsi="Calibri" w:cs="Tahoma"/>
          <w:sz w:val="22"/>
          <w:szCs w:val="22"/>
        </w:rPr>
        <w:t>CdR</w:t>
      </w:r>
      <w:proofErr w:type="spellEnd"/>
      <w:r w:rsidRPr="00792A65">
        <w:rPr>
          <w:rFonts w:ascii="Calibri" w:hAnsi="Calibri" w:cs="Tahoma"/>
          <w:sz w:val="22"/>
          <w:szCs w:val="22"/>
        </w:rPr>
        <w:t xml:space="preserve"> possono consultare i risultati intermedie, alla completa informatizzazione della scheda B tale monitoraggio sarà visibile sulla scheda stessa. Inoltre il Comitato, insieme alla Direzione Sanitaria, incontra in tale circostanza i Direttori di Dipartimento e di Area e/o i Direttori di struttura che ne facciano espressa richiesta, al fine di discutere dell’andamento infrannuale, valutare l’accoglimento o meno di richieste di rinegoziazione, supportando i Direttori a individuare interventi correttivi finalizzati al riallineamento e raggiungimento degli obiettivi.</w:t>
      </w:r>
    </w:p>
    <w:p w:rsidR="007E0A69" w:rsidRPr="00792A65" w:rsidRDefault="007E0A69" w:rsidP="00792A65">
      <w:pPr>
        <w:ind w:left="284" w:right="565"/>
        <w:jc w:val="both"/>
        <w:rPr>
          <w:rFonts w:ascii="Calibri" w:hAnsi="Calibri" w:cs="Tahoma"/>
          <w:sz w:val="22"/>
          <w:szCs w:val="22"/>
        </w:rPr>
      </w:pPr>
    </w:p>
    <w:p w:rsidR="007E0A69" w:rsidRPr="00792A65" w:rsidRDefault="007E0A69" w:rsidP="00792A65">
      <w:pPr>
        <w:spacing w:line="276" w:lineRule="auto"/>
        <w:ind w:left="284" w:right="565"/>
        <w:rPr>
          <w:rFonts w:ascii="Calibri" w:hAnsi="Calibri" w:cs="Tahoma"/>
          <w:b/>
          <w:bCs/>
          <w:sz w:val="22"/>
          <w:szCs w:val="22"/>
        </w:rPr>
      </w:pPr>
      <w:r w:rsidRPr="00792A65">
        <w:rPr>
          <w:rFonts w:ascii="Calibri" w:hAnsi="Calibri" w:cs="Tahoma"/>
          <w:b/>
          <w:bCs/>
          <w:sz w:val="22"/>
          <w:szCs w:val="22"/>
        </w:rPr>
        <w:t>d - Valutazione raggiungimento obiettivi.</w:t>
      </w:r>
    </w:p>
    <w:p w:rsidR="007E0A69" w:rsidRPr="00792A65" w:rsidRDefault="007E0A69" w:rsidP="00792A65">
      <w:pPr>
        <w:spacing w:line="276" w:lineRule="auto"/>
        <w:ind w:left="284" w:right="565"/>
        <w:rPr>
          <w:rFonts w:ascii="Calibri" w:hAnsi="Calibri" w:cs="Tahoma"/>
          <w:sz w:val="22"/>
          <w:szCs w:val="22"/>
        </w:rPr>
      </w:pPr>
    </w:p>
    <w:p w:rsidR="007E0A69" w:rsidRPr="00792A65" w:rsidRDefault="007E0A69" w:rsidP="00792A65">
      <w:pPr>
        <w:spacing w:line="276" w:lineRule="auto"/>
        <w:ind w:left="284" w:right="565"/>
        <w:rPr>
          <w:rFonts w:ascii="Calibri" w:hAnsi="Calibri" w:cs="Tahoma"/>
          <w:sz w:val="22"/>
          <w:szCs w:val="22"/>
        </w:rPr>
      </w:pPr>
      <w:r w:rsidRPr="00792A65">
        <w:rPr>
          <w:rFonts w:ascii="Calibri" w:hAnsi="Calibri" w:cs="Tahoma"/>
          <w:sz w:val="22"/>
          <w:szCs w:val="22"/>
        </w:rPr>
        <w:t>Entro giugno dell’anno successivo in fase preliminare con conclusione entro il 31 ottobre</w:t>
      </w:r>
      <w:r>
        <w:rPr>
          <w:rFonts w:ascii="Calibri" w:hAnsi="Calibri" w:cs="Tahoma"/>
          <w:sz w:val="22"/>
          <w:szCs w:val="22"/>
        </w:rPr>
        <w:t>.</w:t>
      </w:r>
    </w:p>
    <w:p w:rsidR="007E0A69" w:rsidRPr="00792A65" w:rsidRDefault="007E0A69" w:rsidP="00BD2B7B">
      <w:pPr>
        <w:numPr>
          <w:ilvl w:val="0"/>
          <w:numId w:val="10"/>
        </w:numPr>
        <w:spacing w:line="276" w:lineRule="auto"/>
        <w:ind w:left="284" w:right="565"/>
        <w:jc w:val="both"/>
        <w:rPr>
          <w:rFonts w:ascii="Calibri" w:hAnsi="Calibri" w:cs="Tahoma"/>
          <w:sz w:val="22"/>
          <w:szCs w:val="22"/>
        </w:rPr>
      </w:pPr>
      <w:r w:rsidRPr="00792A65">
        <w:rPr>
          <w:rFonts w:ascii="Calibri" w:hAnsi="Calibri" w:cs="Tahoma"/>
          <w:sz w:val="22"/>
          <w:szCs w:val="22"/>
        </w:rPr>
        <w:t>Il Comitato Budget predispone, per ciascun Titolare di Budget, le schede denominate “Report Valutazione Obiettivi”, con l’indicazione del grado di raggiungimento degli obiettivi negoziati nella Valutazione Sintetica Finale.</w:t>
      </w:r>
    </w:p>
    <w:p w:rsidR="007E0A69" w:rsidRPr="00792A65" w:rsidRDefault="007E0A69" w:rsidP="00792A65">
      <w:pPr>
        <w:spacing w:line="276" w:lineRule="auto"/>
        <w:ind w:left="284" w:right="565"/>
        <w:jc w:val="both"/>
        <w:rPr>
          <w:rFonts w:ascii="Calibri" w:hAnsi="Calibri" w:cs="Tahoma"/>
          <w:sz w:val="22"/>
          <w:szCs w:val="22"/>
          <w:u w:val="single"/>
        </w:rPr>
      </w:pPr>
    </w:p>
    <w:p w:rsidR="007E0A69" w:rsidRPr="00792A65" w:rsidRDefault="007E0A69" w:rsidP="0063291A">
      <w:pPr>
        <w:spacing w:line="276" w:lineRule="auto"/>
        <w:ind w:left="993" w:right="565" w:firstLine="425"/>
        <w:jc w:val="both"/>
        <w:rPr>
          <w:rFonts w:ascii="Calibri" w:hAnsi="Calibri" w:cs="Tahoma"/>
          <w:sz w:val="22"/>
          <w:szCs w:val="22"/>
          <w:u w:val="single"/>
        </w:rPr>
      </w:pPr>
      <w:r w:rsidRPr="00792A65">
        <w:rPr>
          <w:rFonts w:ascii="Calibri" w:hAnsi="Calibri" w:cs="Tahoma"/>
          <w:sz w:val="22"/>
          <w:szCs w:val="22"/>
          <w:u w:val="single"/>
        </w:rPr>
        <w:t>Valutazione di Prima Istanza</w:t>
      </w:r>
    </w:p>
    <w:p w:rsidR="007E0A69" w:rsidRPr="00792A65" w:rsidRDefault="007E0A69" w:rsidP="00BD2B7B">
      <w:pPr>
        <w:numPr>
          <w:ilvl w:val="0"/>
          <w:numId w:val="10"/>
        </w:numPr>
        <w:spacing w:line="276" w:lineRule="auto"/>
        <w:ind w:left="567" w:right="565" w:hanging="283"/>
        <w:jc w:val="both"/>
        <w:rPr>
          <w:rFonts w:ascii="Calibri" w:hAnsi="Calibri" w:cs="Tahoma"/>
          <w:sz w:val="22"/>
          <w:szCs w:val="22"/>
        </w:rPr>
      </w:pPr>
      <w:r w:rsidRPr="00792A65">
        <w:rPr>
          <w:rFonts w:ascii="Calibri" w:hAnsi="Calibri" w:cs="Tahoma"/>
          <w:b/>
          <w:bCs/>
          <w:i/>
          <w:iCs/>
          <w:sz w:val="22"/>
          <w:szCs w:val="22"/>
        </w:rPr>
        <w:t xml:space="preserve">Trasmissione al </w:t>
      </w:r>
      <w:proofErr w:type="spellStart"/>
      <w:r w:rsidRPr="00792A65">
        <w:rPr>
          <w:rFonts w:ascii="Calibri" w:hAnsi="Calibri" w:cs="Tahoma"/>
          <w:b/>
          <w:bCs/>
          <w:i/>
          <w:iCs/>
          <w:sz w:val="22"/>
          <w:szCs w:val="22"/>
        </w:rPr>
        <w:t>CdR</w:t>
      </w:r>
      <w:proofErr w:type="spellEnd"/>
      <w:r w:rsidRPr="00792A65">
        <w:rPr>
          <w:rFonts w:ascii="Calibri" w:hAnsi="Calibri" w:cs="Tahoma"/>
          <w:b/>
          <w:bCs/>
          <w:i/>
          <w:iCs/>
          <w:sz w:val="22"/>
          <w:szCs w:val="22"/>
        </w:rPr>
        <w:t xml:space="preserve"> delle rispettive Schede</w:t>
      </w:r>
      <w:r w:rsidRPr="00792A65">
        <w:rPr>
          <w:rFonts w:ascii="Calibri" w:hAnsi="Calibri" w:cs="Tahoma"/>
          <w:sz w:val="22"/>
          <w:szCs w:val="22"/>
        </w:rPr>
        <w:t xml:space="preserve"> – le </w:t>
      </w:r>
      <w:r>
        <w:rPr>
          <w:rFonts w:ascii="Calibri" w:hAnsi="Calibri" w:cs="Tahoma"/>
          <w:sz w:val="22"/>
          <w:szCs w:val="22"/>
        </w:rPr>
        <w:t>schede</w:t>
      </w:r>
      <w:r w:rsidRPr="00792A65">
        <w:rPr>
          <w:rFonts w:ascii="Calibri" w:hAnsi="Calibri" w:cs="Tahoma"/>
          <w:sz w:val="22"/>
          <w:szCs w:val="22"/>
        </w:rPr>
        <w:t xml:space="preserve"> di pertinenza dell’Unità Operativa</w:t>
      </w:r>
      <w:r>
        <w:rPr>
          <w:rFonts w:ascii="Calibri" w:hAnsi="Calibri" w:cs="Tahoma"/>
          <w:sz w:val="22"/>
          <w:szCs w:val="22"/>
        </w:rPr>
        <w:t xml:space="preserve"> sono</w:t>
      </w:r>
      <w:r w:rsidRPr="00792A65">
        <w:rPr>
          <w:rFonts w:ascii="Calibri" w:hAnsi="Calibri" w:cs="Tahoma"/>
          <w:sz w:val="22"/>
          <w:szCs w:val="22"/>
        </w:rPr>
        <w:t xml:space="preserve"> costituite dalla scheda A economica, B di attività e C </w:t>
      </w:r>
      <w:r>
        <w:rPr>
          <w:rFonts w:ascii="Calibri" w:hAnsi="Calibri" w:cs="Tahoma"/>
          <w:sz w:val="22"/>
          <w:szCs w:val="22"/>
        </w:rPr>
        <w:t xml:space="preserve">di </w:t>
      </w:r>
      <w:r w:rsidRPr="00792A65">
        <w:rPr>
          <w:rFonts w:ascii="Calibri" w:hAnsi="Calibri" w:cs="Tahoma"/>
          <w:sz w:val="22"/>
          <w:szCs w:val="22"/>
        </w:rPr>
        <w:t>valutazione individuale</w:t>
      </w:r>
      <w:r>
        <w:rPr>
          <w:rFonts w:ascii="Calibri" w:hAnsi="Calibri" w:cs="Tahoma"/>
          <w:sz w:val="22"/>
          <w:szCs w:val="22"/>
        </w:rPr>
        <w:t>.</w:t>
      </w:r>
      <w:r w:rsidRPr="00792A65">
        <w:rPr>
          <w:rFonts w:ascii="Calibri" w:hAnsi="Calibri" w:cs="Tahoma"/>
          <w:sz w:val="22"/>
          <w:szCs w:val="22"/>
        </w:rPr>
        <w:t xml:space="preserve"> </w:t>
      </w:r>
      <w:r>
        <w:rPr>
          <w:rFonts w:ascii="Calibri" w:hAnsi="Calibri" w:cs="Tahoma"/>
          <w:sz w:val="22"/>
          <w:szCs w:val="22"/>
        </w:rPr>
        <w:t>O</w:t>
      </w:r>
      <w:r w:rsidRPr="00792A65">
        <w:rPr>
          <w:rFonts w:ascii="Calibri" w:hAnsi="Calibri" w:cs="Tahoma"/>
          <w:sz w:val="22"/>
          <w:szCs w:val="22"/>
        </w:rPr>
        <w:t xml:space="preserve">gni </w:t>
      </w:r>
      <w:proofErr w:type="spellStart"/>
      <w:r w:rsidRPr="00792A65">
        <w:rPr>
          <w:rFonts w:ascii="Calibri" w:hAnsi="Calibri" w:cs="Tahoma"/>
          <w:sz w:val="22"/>
          <w:szCs w:val="22"/>
        </w:rPr>
        <w:t>CdR</w:t>
      </w:r>
      <w:proofErr w:type="spellEnd"/>
      <w:r w:rsidRPr="00792A65">
        <w:rPr>
          <w:rFonts w:ascii="Calibri" w:hAnsi="Calibri" w:cs="Tahoma"/>
          <w:sz w:val="22"/>
          <w:szCs w:val="22"/>
        </w:rPr>
        <w:t xml:space="preserve"> potrà esaminare sul portale, la</w:t>
      </w:r>
      <w:r>
        <w:rPr>
          <w:rFonts w:ascii="Calibri" w:hAnsi="Calibri" w:cs="Tahoma"/>
          <w:sz w:val="22"/>
          <w:szCs w:val="22"/>
        </w:rPr>
        <w:t xml:space="preserve"> scheda C, la</w:t>
      </w:r>
      <w:r w:rsidRPr="00792A65">
        <w:rPr>
          <w:rFonts w:ascii="Calibri" w:hAnsi="Calibri" w:cs="Tahoma"/>
          <w:sz w:val="22"/>
          <w:szCs w:val="22"/>
        </w:rPr>
        <w:t xml:space="preserve"> cui fase di valutazione è </w:t>
      </w:r>
      <w:r w:rsidRPr="00FC33F7">
        <w:rPr>
          <w:rFonts w:ascii="Calibri" w:hAnsi="Calibri" w:cs="Tahoma"/>
          <w:sz w:val="22"/>
          <w:szCs w:val="22"/>
        </w:rPr>
        <w:t>descritta nello specifico paragrafo. I</w:t>
      </w:r>
      <w:r w:rsidRPr="00792A65">
        <w:rPr>
          <w:rFonts w:ascii="Calibri" w:hAnsi="Calibri" w:cs="Tahoma"/>
          <w:sz w:val="22"/>
          <w:szCs w:val="22"/>
        </w:rPr>
        <w:t xml:space="preserve"> Titolari di Bu</w:t>
      </w:r>
      <w:r>
        <w:rPr>
          <w:rFonts w:ascii="Calibri" w:hAnsi="Calibri" w:cs="Tahoma"/>
          <w:sz w:val="22"/>
          <w:szCs w:val="22"/>
        </w:rPr>
        <w:t>dget possono sottoscrivere i</w:t>
      </w:r>
      <w:r w:rsidRPr="00792A65">
        <w:rPr>
          <w:rFonts w:ascii="Calibri" w:hAnsi="Calibri" w:cs="Tahoma"/>
          <w:sz w:val="22"/>
          <w:szCs w:val="22"/>
        </w:rPr>
        <w:t>l “Report Valutazione Obiettivi” e qualora condividano la percentuale di raggiungimento degli obiettivi ottenuta nella Valutazione Sintetica Finale, lo assumono senza necessità di alcuna aggiunta od integrazione. Qualora non dovessero condividere la percentuale di raggiungimento degli obiettivi ottenuta nella Valutazione Sintetica Finale, allegano al “Report Valutazione Obiettivi”, una nota contenente le motivazioni che a loro parere giustificano il parziale e/o mancato raggiungimento degli obiettivi assegnati, rinviando tutta la documentazione al Comitato Budget, entro 30 giorni.</w:t>
      </w:r>
    </w:p>
    <w:p w:rsidR="007E0A69" w:rsidRPr="00792A65" w:rsidRDefault="007E0A69" w:rsidP="00BD2B7B">
      <w:pPr>
        <w:numPr>
          <w:ilvl w:val="0"/>
          <w:numId w:val="10"/>
        </w:numPr>
        <w:spacing w:line="276" w:lineRule="auto"/>
        <w:ind w:left="567" w:right="565" w:hanging="283"/>
        <w:jc w:val="both"/>
        <w:rPr>
          <w:rFonts w:ascii="Calibri" w:hAnsi="Calibri" w:cs="Tahoma"/>
          <w:sz w:val="22"/>
          <w:szCs w:val="22"/>
        </w:rPr>
      </w:pPr>
      <w:r w:rsidRPr="00792A65">
        <w:rPr>
          <w:rFonts w:ascii="Calibri" w:hAnsi="Calibri" w:cs="Tahoma"/>
          <w:b/>
          <w:bCs/>
          <w:i/>
          <w:iCs/>
          <w:sz w:val="22"/>
          <w:szCs w:val="22"/>
        </w:rPr>
        <w:t>Primo contraddittorio</w:t>
      </w:r>
      <w:r w:rsidRPr="00792A65">
        <w:rPr>
          <w:rFonts w:ascii="Calibri" w:hAnsi="Calibri" w:cs="Tahoma"/>
          <w:sz w:val="22"/>
          <w:szCs w:val="22"/>
        </w:rPr>
        <w:t xml:space="preserve"> - I </w:t>
      </w:r>
      <w:proofErr w:type="spellStart"/>
      <w:r w:rsidRPr="00792A65">
        <w:rPr>
          <w:rFonts w:ascii="Calibri" w:hAnsi="Calibri" w:cs="Tahoma"/>
          <w:sz w:val="22"/>
          <w:szCs w:val="22"/>
        </w:rPr>
        <w:t>CdR</w:t>
      </w:r>
      <w:proofErr w:type="spellEnd"/>
      <w:r w:rsidRPr="00792A65">
        <w:rPr>
          <w:rFonts w:ascii="Calibri" w:hAnsi="Calibri" w:cs="Tahoma"/>
          <w:sz w:val="22"/>
          <w:szCs w:val="22"/>
        </w:rPr>
        <w:t xml:space="preserve"> che non hanno accettato le valutazioni, dopo la presentazione di controdeduzioni, osservazioni e motivazioni rispetto agli scostamenti rilevati incontreranno il </w:t>
      </w:r>
      <w:r>
        <w:rPr>
          <w:rFonts w:ascii="Calibri" w:hAnsi="Calibri" w:cs="Tahoma"/>
          <w:sz w:val="22"/>
          <w:szCs w:val="22"/>
        </w:rPr>
        <w:t>C</w:t>
      </w:r>
      <w:r w:rsidRPr="00792A65">
        <w:rPr>
          <w:rFonts w:ascii="Calibri" w:hAnsi="Calibri" w:cs="Tahoma"/>
          <w:sz w:val="22"/>
          <w:szCs w:val="22"/>
        </w:rPr>
        <w:t>omitato di Budget</w:t>
      </w:r>
      <w:r>
        <w:rPr>
          <w:rFonts w:ascii="Calibri" w:hAnsi="Calibri" w:cs="Tahoma"/>
          <w:sz w:val="22"/>
          <w:szCs w:val="22"/>
        </w:rPr>
        <w:t>,</w:t>
      </w:r>
      <w:r w:rsidRPr="00792A65">
        <w:rPr>
          <w:rFonts w:ascii="Calibri" w:hAnsi="Calibri" w:cs="Tahoma"/>
          <w:sz w:val="22"/>
          <w:szCs w:val="22"/>
        </w:rPr>
        <w:t xml:space="preserve"> si valuterà congiuntamente la documentazione presentata ed in contraddittorio, lo stesso comitato potrà accogliere totalmente le controdeduzioni o parzialmente attraverso specifico verbale e determinare la quota percentuale di raggiungimento.</w:t>
      </w:r>
    </w:p>
    <w:p w:rsidR="007E0A69" w:rsidRPr="00792A65" w:rsidRDefault="007E0A69" w:rsidP="00BD2B7B">
      <w:pPr>
        <w:numPr>
          <w:ilvl w:val="0"/>
          <w:numId w:val="10"/>
        </w:numPr>
        <w:spacing w:line="276" w:lineRule="auto"/>
        <w:ind w:left="567" w:right="565" w:hanging="283"/>
        <w:jc w:val="both"/>
        <w:rPr>
          <w:rFonts w:ascii="Calibri" w:hAnsi="Calibri" w:cs="Tahoma"/>
          <w:sz w:val="22"/>
          <w:szCs w:val="22"/>
        </w:rPr>
      </w:pPr>
      <w:r w:rsidRPr="00792A65">
        <w:rPr>
          <w:rFonts w:ascii="Calibri" w:hAnsi="Calibri" w:cs="Tahoma"/>
          <w:b/>
          <w:bCs/>
          <w:i/>
          <w:iCs/>
          <w:sz w:val="22"/>
          <w:szCs w:val="22"/>
        </w:rPr>
        <w:t>Secondo contraddittorio</w:t>
      </w:r>
      <w:r w:rsidRPr="00792A65">
        <w:rPr>
          <w:rFonts w:ascii="Calibri" w:hAnsi="Calibri" w:cs="Tahoma"/>
          <w:sz w:val="22"/>
          <w:szCs w:val="22"/>
        </w:rPr>
        <w:t xml:space="preserve"> – Il verbale redatto in contraddittorio tra comitato budget e </w:t>
      </w:r>
      <w:proofErr w:type="spellStart"/>
      <w:r w:rsidRPr="00792A65">
        <w:rPr>
          <w:rFonts w:ascii="Calibri" w:hAnsi="Calibri" w:cs="Tahoma"/>
          <w:sz w:val="22"/>
          <w:szCs w:val="22"/>
        </w:rPr>
        <w:t>CdR</w:t>
      </w:r>
      <w:proofErr w:type="spellEnd"/>
      <w:r w:rsidRPr="00792A65">
        <w:rPr>
          <w:rFonts w:ascii="Calibri" w:hAnsi="Calibri" w:cs="Tahoma"/>
          <w:sz w:val="22"/>
          <w:szCs w:val="22"/>
        </w:rPr>
        <w:t xml:space="preserve"> potrà essere nuovamente contestato dal da parte dei Direttori assegnatari di Budget. </w:t>
      </w:r>
      <w:r w:rsidRPr="00CF1E33">
        <w:rPr>
          <w:rFonts w:ascii="Calibri" w:hAnsi="Calibri" w:cs="Tahoma"/>
          <w:sz w:val="22"/>
          <w:szCs w:val="22"/>
        </w:rPr>
        <w:t>Un Direttore della Direzione strategica o il Direttore di Staff di competenza potrà rivedere o confermare</w:t>
      </w:r>
      <w:r w:rsidRPr="00792A65">
        <w:rPr>
          <w:rFonts w:ascii="Calibri" w:hAnsi="Calibri" w:cs="Tahoma"/>
          <w:sz w:val="22"/>
          <w:szCs w:val="22"/>
        </w:rPr>
        <w:t xml:space="preserve"> la decisione assunta nel primo contraddittorio attraverso nota che ne specifichi la motivazione e l’accettazione o il rifiuto del richiedente.</w:t>
      </w:r>
    </w:p>
    <w:p w:rsidR="007E0A69" w:rsidRPr="00792A65" w:rsidRDefault="007E0A69" w:rsidP="00792A65">
      <w:pPr>
        <w:spacing w:line="276" w:lineRule="auto"/>
        <w:ind w:left="284" w:right="565"/>
        <w:jc w:val="both"/>
        <w:rPr>
          <w:rFonts w:ascii="Calibri" w:hAnsi="Calibri" w:cs="Tahoma"/>
          <w:sz w:val="22"/>
          <w:szCs w:val="22"/>
          <w:u w:val="single"/>
        </w:rPr>
      </w:pPr>
    </w:p>
    <w:p w:rsidR="007E0A69" w:rsidRPr="008F437C" w:rsidRDefault="007E0A69" w:rsidP="008F437C">
      <w:pPr>
        <w:spacing w:line="276" w:lineRule="auto"/>
        <w:ind w:left="993" w:right="565" w:firstLine="425"/>
        <w:jc w:val="both"/>
        <w:rPr>
          <w:rFonts w:ascii="Calibri" w:hAnsi="Calibri" w:cs="Tahoma"/>
          <w:sz w:val="22"/>
          <w:szCs w:val="22"/>
          <w:u w:val="single"/>
        </w:rPr>
      </w:pPr>
      <w:r w:rsidRPr="00792A65">
        <w:rPr>
          <w:rFonts w:ascii="Calibri" w:hAnsi="Calibri" w:cs="Tahoma"/>
          <w:sz w:val="22"/>
          <w:szCs w:val="22"/>
          <w:u w:val="single"/>
        </w:rPr>
        <w:t>Valutazione di seconda istanza</w:t>
      </w:r>
    </w:p>
    <w:p w:rsidR="007E0A69" w:rsidRDefault="007E0A69" w:rsidP="008F437C">
      <w:pPr>
        <w:spacing w:line="276" w:lineRule="auto"/>
        <w:ind w:left="567" w:right="565"/>
        <w:jc w:val="both"/>
        <w:rPr>
          <w:rFonts w:ascii="Calibri" w:hAnsi="Calibri" w:cs="Tahoma"/>
          <w:bCs/>
          <w:iCs/>
          <w:sz w:val="22"/>
          <w:szCs w:val="22"/>
        </w:rPr>
      </w:pPr>
      <w:r w:rsidRPr="008F437C">
        <w:rPr>
          <w:rFonts w:ascii="Calibri" w:hAnsi="Calibri" w:cs="Tahoma"/>
          <w:sz w:val="22"/>
          <w:szCs w:val="22"/>
        </w:rPr>
        <w:t xml:space="preserve">Qualora il </w:t>
      </w:r>
      <w:proofErr w:type="spellStart"/>
      <w:r w:rsidRPr="008F437C">
        <w:rPr>
          <w:rFonts w:ascii="Calibri" w:hAnsi="Calibri" w:cs="Tahoma"/>
          <w:sz w:val="22"/>
          <w:szCs w:val="22"/>
        </w:rPr>
        <w:t>CdR</w:t>
      </w:r>
      <w:proofErr w:type="spellEnd"/>
      <w:r w:rsidRPr="008F437C">
        <w:rPr>
          <w:rFonts w:ascii="Calibri" w:hAnsi="Calibri" w:cs="Tahoma"/>
          <w:sz w:val="22"/>
          <w:szCs w:val="22"/>
        </w:rPr>
        <w:t xml:space="preserve"> non concordi con le modifiche effettuate in prima istanza</w:t>
      </w:r>
      <w:r>
        <w:rPr>
          <w:rFonts w:ascii="Calibri" w:hAnsi="Calibri" w:cs="Tahoma"/>
          <w:bCs/>
          <w:iCs/>
          <w:sz w:val="22"/>
          <w:szCs w:val="22"/>
        </w:rPr>
        <w:t>, potrà essere avviata la valutazione di seconda istanza.</w:t>
      </w:r>
    </w:p>
    <w:p w:rsidR="007E0A69" w:rsidRPr="008F437C" w:rsidRDefault="007E0A69" w:rsidP="008F437C">
      <w:pPr>
        <w:spacing w:line="276" w:lineRule="auto"/>
        <w:ind w:left="567" w:right="565"/>
        <w:jc w:val="both"/>
        <w:rPr>
          <w:rFonts w:ascii="Calibri" w:hAnsi="Calibri" w:cs="Tahoma"/>
          <w:b/>
          <w:bCs/>
          <w:i/>
          <w:iCs/>
          <w:sz w:val="22"/>
          <w:szCs w:val="22"/>
        </w:rPr>
      </w:pPr>
      <w:r>
        <w:rPr>
          <w:rFonts w:ascii="Calibri" w:hAnsi="Calibri" w:cs="Tahoma"/>
          <w:b/>
          <w:bCs/>
          <w:i/>
          <w:iCs/>
          <w:sz w:val="22"/>
          <w:szCs w:val="22"/>
        </w:rPr>
        <w:lastRenderedPageBreak/>
        <w:t>L</w:t>
      </w:r>
      <w:r w:rsidRPr="00792A65">
        <w:rPr>
          <w:rFonts w:ascii="Calibri" w:hAnsi="Calibri" w:cs="Tahoma"/>
          <w:b/>
          <w:bCs/>
          <w:i/>
          <w:iCs/>
          <w:sz w:val="22"/>
          <w:szCs w:val="22"/>
        </w:rPr>
        <w:t>’Organismo Indipendente di Valutazione</w:t>
      </w:r>
      <w:r w:rsidRPr="0063291A">
        <w:rPr>
          <w:rFonts w:ascii="Calibri" w:hAnsi="Calibri" w:cs="Tahoma"/>
          <w:bCs/>
          <w:iCs/>
          <w:sz w:val="22"/>
          <w:szCs w:val="22"/>
        </w:rPr>
        <w:t>, una volta acquisita la documentazione</w:t>
      </w:r>
      <w:r>
        <w:rPr>
          <w:rFonts w:ascii="Calibri" w:hAnsi="Calibri" w:cs="Tahoma"/>
          <w:bCs/>
          <w:iCs/>
          <w:sz w:val="22"/>
          <w:szCs w:val="22"/>
        </w:rPr>
        <w:t>,</w:t>
      </w:r>
      <w:r w:rsidRPr="0063291A">
        <w:rPr>
          <w:rFonts w:ascii="Calibri" w:hAnsi="Calibri" w:cs="Tahoma"/>
          <w:bCs/>
          <w:iCs/>
          <w:sz w:val="22"/>
          <w:szCs w:val="22"/>
        </w:rPr>
        <w:t xml:space="preserve"> potrà convocare in contraddittorio il Titolare di Budget al fine di </w:t>
      </w:r>
      <w:r>
        <w:rPr>
          <w:rFonts w:ascii="Calibri" w:hAnsi="Calibri" w:cs="Tahoma"/>
          <w:bCs/>
          <w:iCs/>
          <w:sz w:val="22"/>
          <w:szCs w:val="22"/>
        </w:rPr>
        <w:t>accordarsi sulla percentuale di raggiungimento</w:t>
      </w:r>
      <w:r w:rsidRPr="0063291A">
        <w:rPr>
          <w:rFonts w:ascii="Calibri" w:hAnsi="Calibri" w:cs="Tahoma"/>
          <w:bCs/>
          <w:iCs/>
          <w:sz w:val="22"/>
          <w:szCs w:val="22"/>
        </w:rPr>
        <w:t>. Successivamente trasmette al Direttore Generale un apposito verbale contente le proposte complessive di valutazioni dell’Organismo Indipendente di Valutazione di Seconda Istanza.</w:t>
      </w:r>
    </w:p>
    <w:p w:rsidR="007E0A69" w:rsidRPr="00792A65" w:rsidRDefault="007E0A69" w:rsidP="00792A65">
      <w:pPr>
        <w:spacing w:line="276" w:lineRule="auto"/>
        <w:ind w:left="284" w:right="565"/>
        <w:jc w:val="both"/>
        <w:rPr>
          <w:rFonts w:ascii="Calibri" w:hAnsi="Calibri" w:cs="Tahoma"/>
          <w:sz w:val="22"/>
          <w:szCs w:val="22"/>
        </w:rPr>
      </w:pPr>
    </w:p>
    <w:p w:rsidR="007E0A69" w:rsidRPr="00792A65" w:rsidRDefault="007E0A69" w:rsidP="00792A65">
      <w:pPr>
        <w:spacing w:line="276" w:lineRule="auto"/>
        <w:ind w:left="284" w:right="565"/>
        <w:jc w:val="both"/>
        <w:rPr>
          <w:rFonts w:ascii="Calibri" w:hAnsi="Calibri" w:cs="Tahoma"/>
          <w:b/>
          <w:bCs/>
          <w:dstrike/>
          <w:sz w:val="22"/>
          <w:szCs w:val="22"/>
        </w:rPr>
      </w:pPr>
      <w:r w:rsidRPr="00792A65">
        <w:rPr>
          <w:rFonts w:ascii="Calibri" w:hAnsi="Calibri" w:cs="Tahoma"/>
          <w:b/>
          <w:bCs/>
          <w:sz w:val="22"/>
          <w:szCs w:val="22"/>
        </w:rPr>
        <w:t>e - Conclusione dell’iter valutativo</w:t>
      </w:r>
    </w:p>
    <w:p w:rsidR="007E0A69" w:rsidRPr="00792A65" w:rsidRDefault="007E0A69" w:rsidP="00792A65">
      <w:pPr>
        <w:spacing w:line="276" w:lineRule="auto"/>
        <w:ind w:left="284" w:right="565"/>
        <w:jc w:val="both"/>
        <w:rPr>
          <w:rFonts w:ascii="Calibri" w:hAnsi="Calibri" w:cs="Tahoma"/>
          <w:b/>
          <w:bCs/>
          <w:sz w:val="22"/>
          <w:szCs w:val="22"/>
        </w:rPr>
      </w:pPr>
    </w:p>
    <w:p w:rsidR="007E0A69" w:rsidRPr="008520FF" w:rsidRDefault="007E0A69" w:rsidP="008520FF">
      <w:pPr>
        <w:spacing w:line="276" w:lineRule="auto"/>
        <w:ind w:left="284" w:right="565"/>
        <w:jc w:val="both"/>
        <w:rPr>
          <w:rFonts w:ascii="Calibri" w:hAnsi="Calibri" w:cs="Tahoma"/>
          <w:sz w:val="22"/>
          <w:szCs w:val="22"/>
        </w:rPr>
      </w:pPr>
      <w:r w:rsidRPr="00792A65">
        <w:rPr>
          <w:rFonts w:ascii="Calibri" w:hAnsi="Calibri" w:cs="Tahoma"/>
          <w:sz w:val="22"/>
          <w:szCs w:val="22"/>
        </w:rPr>
        <w:t>L’Organismo Indipendente di Valutazione acquisisce dal comitato di Budget t</w:t>
      </w:r>
      <w:r>
        <w:rPr>
          <w:rFonts w:ascii="Calibri" w:hAnsi="Calibri" w:cs="Tahoma"/>
          <w:sz w:val="22"/>
          <w:szCs w:val="22"/>
        </w:rPr>
        <w:t xml:space="preserve">utta la documentazione relativa </w:t>
      </w:r>
      <w:r w:rsidRPr="00792A65">
        <w:rPr>
          <w:rFonts w:ascii="Calibri" w:hAnsi="Calibri" w:cs="Tahoma"/>
          <w:sz w:val="22"/>
          <w:szCs w:val="22"/>
        </w:rPr>
        <w:t>al</w:t>
      </w:r>
      <w:r>
        <w:rPr>
          <w:rFonts w:ascii="Calibri" w:hAnsi="Calibri" w:cs="Tahoma"/>
          <w:sz w:val="22"/>
          <w:szCs w:val="22"/>
        </w:rPr>
        <w:t>l’intero</w:t>
      </w:r>
      <w:r w:rsidRPr="00792A65">
        <w:rPr>
          <w:rFonts w:ascii="Calibri" w:hAnsi="Calibri" w:cs="Tahoma"/>
          <w:sz w:val="22"/>
          <w:szCs w:val="22"/>
        </w:rPr>
        <w:t xml:space="preserve"> Processo di Budget </w:t>
      </w:r>
      <w:r>
        <w:rPr>
          <w:rFonts w:ascii="Calibri" w:hAnsi="Calibri" w:cs="Tahoma"/>
          <w:sz w:val="22"/>
          <w:szCs w:val="22"/>
        </w:rPr>
        <w:t xml:space="preserve">e </w:t>
      </w:r>
      <w:r w:rsidRPr="00792A65">
        <w:rPr>
          <w:rFonts w:ascii="Calibri" w:hAnsi="Calibri" w:cs="Tahoma"/>
          <w:sz w:val="22"/>
          <w:szCs w:val="22"/>
        </w:rPr>
        <w:t>attesta il grado di raggiungimento degli obiettivi</w:t>
      </w:r>
      <w:r>
        <w:rPr>
          <w:rFonts w:ascii="Calibri" w:hAnsi="Calibri" w:cs="Tahoma"/>
          <w:sz w:val="22"/>
          <w:szCs w:val="22"/>
        </w:rPr>
        <w:t>,</w:t>
      </w:r>
      <w:r w:rsidRPr="00792A65">
        <w:rPr>
          <w:rFonts w:ascii="Calibri" w:hAnsi="Calibri" w:cs="Tahoma"/>
          <w:sz w:val="22"/>
          <w:szCs w:val="22"/>
        </w:rPr>
        <w:t xml:space="preserve"> verificando la correttezza dei processi </w:t>
      </w:r>
      <w:r>
        <w:rPr>
          <w:rFonts w:ascii="Calibri" w:hAnsi="Calibri" w:cs="Tahoma"/>
          <w:sz w:val="22"/>
          <w:szCs w:val="22"/>
        </w:rPr>
        <w:t xml:space="preserve">di misurazione e di valutazione. </w:t>
      </w:r>
      <w:r w:rsidRPr="009D76CB">
        <w:rPr>
          <w:rFonts w:ascii="Calibri" w:hAnsi="Calibri" w:cs="Tahoma"/>
        </w:rPr>
        <w:t>Sulla base degli esiti</w:t>
      </w:r>
      <w:r>
        <w:rPr>
          <w:rFonts w:ascii="Calibri" w:hAnsi="Calibri" w:cs="Tahoma"/>
        </w:rPr>
        <w:t>,</w:t>
      </w:r>
      <w:r w:rsidRPr="009D76CB">
        <w:rPr>
          <w:rFonts w:ascii="Calibri" w:hAnsi="Calibri" w:cs="Tahoma"/>
        </w:rPr>
        <w:t xml:space="preserve"> comunica le criticità riscontrate alla Direzione Aziendale, formula al Direttore Generale azioni correttive e di miglioramento da attuare nel ciclo di programmazione in corso e/o successivo.</w:t>
      </w:r>
    </w:p>
    <w:p w:rsidR="007E0A69"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 xml:space="preserve">Al termine del confronto con l’OIV, il Comitato Budget conclude l’iter di valutazione, comunicando gli esiti </w:t>
      </w:r>
      <w:r>
        <w:rPr>
          <w:rFonts w:ascii="Calibri" w:hAnsi="Calibri" w:cs="Tahoma"/>
          <w:sz w:val="22"/>
          <w:szCs w:val="22"/>
        </w:rPr>
        <w:t xml:space="preserve">definitivi </w:t>
      </w:r>
      <w:r w:rsidRPr="00792A65">
        <w:rPr>
          <w:rFonts w:ascii="Calibri" w:hAnsi="Calibri" w:cs="Tahoma"/>
          <w:sz w:val="22"/>
          <w:szCs w:val="22"/>
        </w:rPr>
        <w:t>sia ai Direttori interessati</w:t>
      </w:r>
      <w:r>
        <w:rPr>
          <w:rFonts w:ascii="Calibri" w:hAnsi="Calibri" w:cs="Tahoma"/>
          <w:sz w:val="22"/>
          <w:szCs w:val="22"/>
        </w:rPr>
        <w:t>, sia</w:t>
      </w:r>
      <w:r w:rsidRPr="00792A65">
        <w:rPr>
          <w:rFonts w:ascii="Calibri" w:hAnsi="Calibri" w:cs="Tahoma"/>
          <w:sz w:val="22"/>
          <w:szCs w:val="22"/>
        </w:rPr>
        <w:t xml:space="preserve"> al Dipartimento Risorse Umane</w:t>
      </w:r>
      <w:r>
        <w:rPr>
          <w:rFonts w:ascii="Calibri" w:hAnsi="Calibri" w:cs="Tahoma"/>
          <w:sz w:val="22"/>
          <w:szCs w:val="22"/>
        </w:rPr>
        <w:t>,</w:t>
      </w:r>
      <w:r w:rsidRPr="00792A65">
        <w:rPr>
          <w:rFonts w:ascii="Calibri" w:hAnsi="Calibri" w:cs="Tahoma"/>
          <w:sz w:val="22"/>
          <w:szCs w:val="22"/>
        </w:rPr>
        <w:t xml:space="preserve"> dove si abbinano i gradi di raggiungimento dei risultati raggiunti dalle strutture in ciascuna dell</w:t>
      </w:r>
      <w:r>
        <w:rPr>
          <w:rFonts w:ascii="Calibri" w:hAnsi="Calibri" w:cs="Tahoma"/>
          <w:sz w:val="22"/>
          <w:szCs w:val="22"/>
        </w:rPr>
        <w:t>e s</w:t>
      </w:r>
      <w:r w:rsidRPr="00792A65">
        <w:rPr>
          <w:rFonts w:ascii="Calibri" w:hAnsi="Calibri" w:cs="Tahoma"/>
          <w:sz w:val="22"/>
          <w:szCs w:val="22"/>
        </w:rPr>
        <w:t>chede di valutazione di cui si compone il Sistema Premiante.</w:t>
      </w:r>
    </w:p>
    <w:p w:rsidR="007E0A69" w:rsidRPr="00792A65" w:rsidRDefault="007E0A69" w:rsidP="00792A65">
      <w:pPr>
        <w:spacing w:line="276" w:lineRule="auto"/>
        <w:ind w:left="284" w:right="565"/>
        <w:jc w:val="both"/>
        <w:rPr>
          <w:rFonts w:ascii="Calibri" w:hAnsi="Calibri" w:cs="Tahoma"/>
          <w:sz w:val="22"/>
          <w:szCs w:val="22"/>
        </w:rPr>
      </w:pPr>
    </w:p>
    <w:p w:rsidR="007E0A69" w:rsidRPr="00792A65" w:rsidRDefault="007E0A69" w:rsidP="00522A0F">
      <w:pPr>
        <w:spacing w:line="276" w:lineRule="auto"/>
        <w:ind w:left="284" w:right="565"/>
        <w:jc w:val="both"/>
        <w:rPr>
          <w:rFonts w:ascii="Calibri" w:hAnsi="Calibri" w:cs="Tahoma"/>
          <w:b/>
          <w:bCs/>
          <w:sz w:val="22"/>
          <w:szCs w:val="22"/>
        </w:rPr>
      </w:pPr>
      <w:r w:rsidRPr="00792A65">
        <w:rPr>
          <w:rFonts w:ascii="Calibri" w:hAnsi="Calibri" w:cs="Tahoma"/>
          <w:b/>
          <w:bCs/>
          <w:sz w:val="22"/>
          <w:szCs w:val="22"/>
        </w:rPr>
        <w:t>f – casi speciali</w:t>
      </w:r>
    </w:p>
    <w:p w:rsidR="007E0A69" w:rsidRPr="00792A65" w:rsidRDefault="007E0A69" w:rsidP="00522A0F">
      <w:pPr>
        <w:spacing w:line="276" w:lineRule="auto"/>
        <w:ind w:left="284" w:right="565"/>
        <w:jc w:val="both"/>
        <w:rPr>
          <w:rFonts w:ascii="Calibri" w:hAnsi="Calibri" w:cs="Tahoma"/>
          <w:b/>
          <w:bCs/>
          <w:sz w:val="22"/>
          <w:szCs w:val="22"/>
        </w:rPr>
      </w:pPr>
    </w:p>
    <w:p w:rsidR="007E0A69" w:rsidRPr="00FC33F7" w:rsidRDefault="007E0A69" w:rsidP="00522A0F">
      <w:pPr>
        <w:spacing w:line="276" w:lineRule="auto"/>
        <w:ind w:left="284" w:right="565"/>
        <w:jc w:val="both"/>
        <w:rPr>
          <w:rFonts w:ascii="Calibri" w:hAnsi="Calibri" w:cs="Tahoma"/>
          <w:sz w:val="22"/>
          <w:szCs w:val="22"/>
        </w:rPr>
      </w:pPr>
      <w:r w:rsidRPr="00FC33F7">
        <w:rPr>
          <w:rFonts w:ascii="Calibri" w:hAnsi="Calibri" w:cs="Tahoma"/>
          <w:sz w:val="22"/>
          <w:szCs w:val="22"/>
        </w:rPr>
        <w:t>Copertura o termine di attribuzione  di una posizione di direttore struttura in corso d’anno:</w:t>
      </w:r>
    </w:p>
    <w:p w:rsidR="007E0A69" w:rsidRPr="00FC33F7" w:rsidRDefault="007E0A69" w:rsidP="00522A0F">
      <w:pPr>
        <w:numPr>
          <w:ilvl w:val="0"/>
          <w:numId w:val="18"/>
        </w:numPr>
        <w:spacing w:line="276" w:lineRule="auto"/>
        <w:ind w:right="565"/>
        <w:jc w:val="both"/>
        <w:rPr>
          <w:rFonts w:ascii="Calibri" w:hAnsi="Calibri" w:cs="Tahoma"/>
          <w:sz w:val="22"/>
          <w:szCs w:val="22"/>
        </w:rPr>
      </w:pPr>
      <w:r w:rsidRPr="00FC33F7">
        <w:rPr>
          <w:rFonts w:ascii="Calibri" w:hAnsi="Calibri" w:cs="Tahoma"/>
          <w:sz w:val="22"/>
          <w:szCs w:val="22"/>
        </w:rPr>
        <w:t>Il direttore, entrante o  uscente, sarà valutato solo per quella quota di obiettivi raggiungibili nel  rispettivo periodo di direzione.</w:t>
      </w:r>
    </w:p>
    <w:p w:rsidR="007E0A69" w:rsidRPr="00FC33F7" w:rsidRDefault="007E0A69" w:rsidP="00522A0F">
      <w:pPr>
        <w:numPr>
          <w:ilvl w:val="0"/>
          <w:numId w:val="18"/>
        </w:numPr>
        <w:spacing w:line="276" w:lineRule="auto"/>
        <w:ind w:right="565"/>
        <w:jc w:val="both"/>
        <w:rPr>
          <w:rFonts w:ascii="Calibri" w:hAnsi="Calibri" w:cs="Tahoma"/>
          <w:sz w:val="22"/>
          <w:szCs w:val="22"/>
        </w:rPr>
      </w:pPr>
      <w:r w:rsidRPr="00FC33F7">
        <w:rPr>
          <w:rFonts w:ascii="Calibri" w:hAnsi="Calibri" w:cs="Tahoma"/>
          <w:sz w:val="22"/>
          <w:szCs w:val="22"/>
        </w:rPr>
        <w:t>Per gli indicatori di tipo quantitativo saranno considerati le mensilità di reale direzione.</w:t>
      </w:r>
    </w:p>
    <w:p w:rsidR="007E0A69" w:rsidRPr="00FC33F7" w:rsidRDefault="007E0A69" w:rsidP="00522A0F">
      <w:pPr>
        <w:numPr>
          <w:ilvl w:val="0"/>
          <w:numId w:val="18"/>
        </w:numPr>
        <w:spacing w:line="276" w:lineRule="auto"/>
        <w:ind w:right="565"/>
        <w:jc w:val="both"/>
        <w:rPr>
          <w:rFonts w:ascii="Calibri" w:hAnsi="Calibri" w:cs="Tahoma"/>
          <w:sz w:val="22"/>
          <w:szCs w:val="22"/>
        </w:rPr>
      </w:pPr>
      <w:r w:rsidRPr="00FC33F7">
        <w:rPr>
          <w:rFonts w:ascii="Calibri" w:hAnsi="Calibri" w:cs="Tahoma"/>
          <w:sz w:val="22"/>
          <w:szCs w:val="22"/>
        </w:rPr>
        <w:t>Per quelli qualitativi si procederà in contraddittorio con il gruppo budget.</w:t>
      </w:r>
    </w:p>
    <w:p w:rsidR="007E0A69" w:rsidRPr="00792A65" w:rsidRDefault="007E0A69" w:rsidP="00792A65">
      <w:pPr>
        <w:spacing w:line="276" w:lineRule="auto"/>
        <w:ind w:left="284" w:right="565"/>
        <w:jc w:val="both"/>
        <w:rPr>
          <w:rFonts w:ascii="Calibri" w:hAnsi="Calibri" w:cs="Tahoma"/>
          <w:sz w:val="22"/>
          <w:szCs w:val="22"/>
        </w:rPr>
      </w:pPr>
    </w:p>
    <w:p w:rsidR="007E0A69" w:rsidRDefault="007E0A69">
      <w:pPr>
        <w:rPr>
          <w:rFonts w:ascii="Calibri" w:hAnsi="Calibri"/>
          <w:b/>
          <w:caps/>
          <w:sz w:val="22"/>
          <w:szCs w:val="22"/>
        </w:rPr>
      </w:pPr>
      <w:bookmarkStart w:id="12" w:name="_Toc371328669"/>
    </w:p>
    <w:p w:rsidR="007E0A69" w:rsidRPr="00792A65" w:rsidRDefault="007E0A69" w:rsidP="00BD2B7B">
      <w:pPr>
        <w:pStyle w:val="Titolo1"/>
        <w:numPr>
          <w:ilvl w:val="0"/>
          <w:numId w:val="5"/>
        </w:numPr>
        <w:spacing w:line="276" w:lineRule="auto"/>
        <w:ind w:left="284" w:right="565"/>
        <w:rPr>
          <w:rFonts w:ascii="Calibri" w:hAnsi="Calibri"/>
          <w:sz w:val="22"/>
          <w:szCs w:val="22"/>
        </w:rPr>
      </w:pPr>
      <w:bookmarkStart w:id="13" w:name="_Toc72510516"/>
      <w:r>
        <w:rPr>
          <w:rFonts w:ascii="Calibri" w:hAnsi="Calibri"/>
          <w:caps/>
          <w:sz w:val="22"/>
          <w:szCs w:val="22"/>
        </w:rPr>
        <w:t xml:space="preserve">Il documento </w:t>
      </w:r>
      <w:r w:rsidRPr="004842FE">
        <w:rPr>
          <w:rFonts w:ascii="Calibri" w:hAnsi="Calibri"/>
          <w:sz w:val="22"/>
          <w:szCs w:val="22"/>
        </w:rPr>
        <w:t>di</w:t>
      </w:r>
      <w:r w:rsidRPr="00792A65">
        <w:rPr>
          <w:rFonts w:ascii="Calibri" w:hAnsi="Calibri"/>
          <w:caps/>
          <w:sz w:val="22"/>
          <w:szCs w:val="22"/>
        </w:rPr>
        <w:t xml:space="preserve"> Budget</w:t>
      </w:r>
      <w:bookmarkEnd w:id="12"/>
      <w:bookmarkEnd w:id="13"/>
    </w:p>
    <w:p w:rsidR="007E0A69" w:rsidRPr="00792A65" w:rsidRDefault="007E0A69" w:rsidP="00554B85">
      <w:pPr>
        <w:spacing w:line="276" w:lineRule="auto"/>
        <w:ind w:left="284" w:right="565"/>
        <w:jc w:val="both"/>
        <w:rPr>
          <w:rFonts w:ascii="Calibri" w:hAnsi="Calibri" w:cs="Tahoma"/>
          <w:sz w:val="22"/>
          <w:szCs w:val="22"/>
        </w:rPr>
      </w:pPr>
    </w:p>
    <w:p w:rsidR="007E0A69" w:rsidRPr="00792A65" w:rsidRDefault="007E0A69" w:rsidP="004842FE">
      <w:pPr>
        <w:spacing w:line="276" w:lineRule="auto"/>
        <w:ind w:left="284" w:right="565"/>
        <w:jc w:val="both"/>
        <w:rPr>
          <w:rFonts w:ascii="Calibri" w:hAnsi="Calibri" w:cs="Tahoma"/>
          <w:sz w:val="22"/>
          <w:szCs w:val="22"/>
        </w:rPr>
      </w:pPr>
      <w:r>
        <w:rPr>
          <w:rFonts w:ascii="Calibri" w:hAnsi="Calibri" w:cs="Tahoma"/>
          <w:sz w:val="22"/>
          <w:szCs w:val="22"/>
        </w:rPr>
        <w:t>E’ importante sottolineare</w:t>
      </w:r>
      <w:r w:rsidRPr="00792A65">
        <w:rPr>
          <w:rFonts w:ascii="Calibri" w:hAnsi="Calibri" w:cs="Tahoma"/>
          <w:sz w:val="22"/>
          <w:szCs w:val="22"/>
        </w:rPr>
        <w:t xml:space="preserve"> che il sistema non è, e non sarà, in grado di misurare tutti gli obiettivi che caratterizzano l’attività di </w:t>
      </w:r>
      <w:r>
        <w:rPr>
          <w:rFonts w:ascii="Calibri" w:hAnsi="Calibri" w:cs="Tahoma"/>
          <w:sz w:val="22"/>
          <w:szCs w:val="22"/>
        </w:rPr>
        <w:t xml:space="preserve">una Azienda Sanitaria che annovera fra le sue funzioni quelle di governare l’assistenza sanitaria ospedaliera e territoriale, l’assistenza sociale e le attività di prevenzione. </w:t>
      </w:r>
      <w:r w:rsidRPr="00792A65">
        <w:rPr>
          <w:rFonts w:ascii="Calibri" w:hAnsi="Calibri" w:cs="Tahoma"/>
          <w:sz w:val="22"/>
          <w:szCs w:val="22"/>
        </w:rPr>
        <w:t xml:space="preserve">La Scheda Budget </w:t>
      </w:r>
      <w:r>
        <w:rPr>
          <w:rFonts w:ascii="Calibri" w:hAnsi="Calibri" w:cs="Tahoma"/>
          <w:sz w:val="22"/>
          <w:szCs w:val="22"/>
        </w:rPr>
        <w:t xml:space="preserve">  rappresenta il principale strumento per il governo del</w:t>
      </w:r>
      <w:r w:rsidRPr="00792A65">
        <w:rPr>
          <w:rFonts w:ascii="Calibri" w:hAnsi="Calibri" w:cs="Tahoma"/>
          <w:sz w:val="22"/>
          <w:szCs w:val="22"/>
        </w:rPr>
        <w:t xml:space="preserve"> sistema di valutazione e misurazione della performance organizzativa e individuale</w:t>
      </w:r>
      <w:r>
        <w:rPr>
          <w:rFonts w:ascii="Calibri" w:hAnsi="Calibri" w:cs="Tahoma"/>
          <w:sz w:val="22"/>
          <w:szCs w:val="22"/>
        </w:rPr>
        <w:t xml:space="preserve"> e si compone di tre schede:</w:t>
      </w:r>
    </w:p>
    <w:p w:rsidR="007E0A69" w:rsidRPr="00792A65" w:rsidRDefault="007E0A69" w:rsidP="00554B85">
      <w:pPr>
        <w:pStyle w:val="Corpotesto1"/>
        <w:spacing w:line="276" w:lineRule="auto"/>
        <w:ind w:left="284" w:right="565"/>
        <w:jc w:val="both"/>
        <w:rPr>
          <w:rFonts w:ascii="Calibri" w:hAnsi="Calibri" w:cs="Tahoma"/>
          <w:sz w:val="22"/>
          <w:szCs w:val="22"/>
        </w:rPr>
      </w:pPr>
      <w:r w:rsidRPr="00792A65">
        <w:rPr>
          <w:rFonts w:ascii="Calibri" w:hAnsi="Calibri" w:cs="Tahoma"/>
          <w:sz w:val="22"/>
          <w:szCs w:val="22"/>
        </w:rPr>
        <w:t>scheda A = budget e obiettivi di carattere economico finanziario</w:t>
      </w:r>
    </w:p>
    <w:p w:rsidR="007E0A69" w:rsidRPr="00792A65" w:rsidRDefault="007E0A69" w:rsidP="00554B85">
      <w:pPr>
        <w:pStyle w:val="Corpotesto1"/>
        <w:spacing w:line="276" w:lineRule="auto"/>
        <w:ind w:left="284" w:right="565"/>
        <w:jc w:val="both"/>
        <w:rPr>
          <w:rFonts w:ascii="Calibri" w:hAnsi="Calibri" w:cs="Tahoma"/>
          <w:sz w:val="22"/>
          <w:szCs w:val="22"/>
        </w:rPr>
      </w:pPr>
      <w:r w:rsidRPr="00792A65">
        <w:rPr>
          <w:rFonts w:ascii="Calibri" w:hAnsi="Calibri" w:cs="Tahoma"/>
          <w:sz w:val="22"/>
          <w:szCs w:val="22"/>
        </w:rPr>
        <w:t>s</w:t>
      </w:r>
      <w:r>
        <w:rPr>
          <w:rFonts w:ascii="Calibri" w:hAnsi="Calibri" w:cs="Tahoma"/>
          <w:sz w:val="22"/>
          <w:szCs w:val="22"/>
        </w:rPr>
        <w:t xml:space="preserve">cheda B = obiettivi di attività e sviluppo </w:t>
      </w:r>
    </w:p>
    <w:p w:rsidR="007E0A69" w:rsidRPr="00792A65" w:rsidRDefault="007E0A69" w:rsidP="00554B85">
      <w:pPr>
        <w:pStyle w:val="Corpotesto1"/>
        <w:spacing w:line="276" w:lineRule="auto"/>
        <w:ind w:left="284" w:right="565"/>
        <w:jc w:val="both"/>
        <w:rPr>
          <w:rFonts w:ascii="Calibri" w:hAnsi="Calibri" w:cs="Tahoma"/>
          <w:sz w:val="22"/>
          <w:szCs w:val="22"/>
        </w:rPr>
      </w:pPr>
      <w:r w:rsidRPr="00792A65">
        <w:rPr>
          <w:rFonts w:ascii="Calibri" w:hAnsi="Calibri" w:cs="Tahoma"/>
          <w:sz w:val="22"/>
          <w:szCs w:val="22"/>
        </w:rPr>
        <w:t xml:space="preserve">scheda C = valutazione </w:t>
      </w:r>
      <w:r>
        <w:rPr>
          <w:rFonts w:ascii="Calibri" w:hAnsi="Calibri" w:cs="Tahoma"/>
          <w:sz w:val="22"/>
          <w:szCs w:val="22"/>
        </w:rPr>
        <w:t xml:space="preserve">individuale </w:t>
      </w:r>
      <w:r w:rsidRPr="00792A65">
        <w:rPr>
          <w:rFonts w:ascii="Calibri" w:hAnsi="Calibri" w:cs="Tahoma"/>
          <w:sz w:val="22"/>
          <w:szCs w:val="22"/>
        </w:rPr>
        <w:t>delle competenze trasversali</w:t>
      </w:r>
    </w:p>
    <w:p w:rsidR="007E0A69" w:rsidRPr="00792A65" w:rsidRDefault="007E0A69" w:rsidP="00554B85">
      <w:pPr>
        <w:pStyle w:val="Corpotesto1"/>
        <w:spacing w:line="276" w:lineRule="auto"/>
        <w:ind w:left="284" w:right="565"/>
        <w:jc w:val="both"/>
        <w:rPr>
          <w:rFonts w:ascii="Calibri" w:hAnsi="Calibri" w:cs="Tahoma"/>
          <w:sz w:val="22"/>
          <w:szCs w:val="22"/>
        </w:rPr>
      </w:pPr>
      <w:r w:rsidRPr="00792A65">
        <w:rPr>
          <w:rFonts w:ascii="Calibri" w:hAnsi="Calibri" w:cs="Tahoma"/>
          <w:sz w:val="22"/>
          <w:szCs w:val="22"/>
        </w:rPr>
        <w:t>Ogni scheda incide in percentuale differente sulla valutazione complessiva in base al profilo professionale e al tipo di incarico ricoperto:</w:t>
      </w:r>
    </w:p>
    <w:tbl>
      <w:tblPr>
        <w:tblW w:w="9355"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A0" w:firstRow="1" w:lastRow="0" w:firstColumn="1" w:lastColumn="0" w:noHBand="0" w:noVBand="0"/>
      </w:tblPr>
      <w:tblGrid>
        <w:gridCol w:w="1417"/>
        <w:gridCol w:w="2127"/>
        <w:gridCol w:w="2236"/>
        <w:gridCol w:w="1733"/>
        <w:gridCol w:w="1842"/>
      </w:tblGrid>
      <w:tr w:rsidR="007E0A69" w:rsidRPr="00792A65" w:rsidTr="00554B85">
        <w:tc>
          <w:tcPr>
            <w:tcW w:w="1417" w:type="dxa"/>
            <w:tcMar>
              <w:left w:w="98" w:type="dxa"/>
            </w:tcMar>
          </w:tcPr>
          <w:p w:rsidR="007E0A69" w:rsidRPr="00792A65" w:rsidRDefault="007E0A69" w:rsidP="0066128A">
            <w:pPr>
              <w:pStyle w:val="Corpotesto1"/>
              <w:ind w:left="284" w:right="565"/>
              <w:jc w:val="both"/>
              <w:rPr>
                <w:rFonts w:ascii="Calibri" w:hAnsi="Calibri" w:cs="Tahoma"/>
                <w:sz w:val="22"/>
                <w:szCs w:val="22"/>
              </w:rPr>
            </w:pPr>
          </w:p>
        </w:tc>
        <w:tc>
          <w:tcPr>
            <w:tcW w:w="4363" w:type="dxa"/>
            <w:gridSpan w:val="2"/>
            <w:tcMar>
              <w:left w:w="98" w:type="dxa"/>
            </w:tcMar>
          </w:tcPr>
          <w:p w:rsidR="007E0A69" w:rsidRPr="00792A65" w:rsidRDefault="007E0A69" w:rsidP="0066128A">
            <w:pPr>
              <w:pStyle w:val="Corpotesto1"/>
              <w:ind w:left="284" w:right="565"/>
              <w:jc w:val="center"/>
              <w:rPr>
                <w:rFonts w:ascii="Calibri" w:hAnsi="Calibri" w:cs="Tahoma"/>
                <w:sz w:val="22"/>
                <w:szCs w:val="22"/>
              </w:rPr>
            </w:pPr>
            <w:r w:rsidRPr="00792A65">
              <w:rPr>
                <w:rFonts w:ascii="Calibri" w:hAnsi="Calibri" w:cs="Tahoma"/>
                <w:sz w:val="22"/>
                <w:szCs w:val="22"/>
              </w:rPr>
              <w:t>Dirigenza Medico Veterinaria e Sanitaria non medica</w:t>
            </w:r>
          </w:p>
        </w:tc>
        <w:tc>
          <w:tcPr>
            <w:tcW w:w="3575" w:type="dxa"/>
            <w:gridSpan w:val="2"/>
            <w:tcMar>
              <w:left w:w="98" w:type="dxa"/>
            </w:tcMar>
          </w:tcPr>
          <w:p w:rsidR="007E0A69" w:rsidRPr="00792A65" w:rsidRDefault="007E0A69" w:rsidP="0066128A">
            <w:pPr>
              <w:pStyle w:val="Corpotesto1"/>
              <w:ind w:left="284" w:right="565"/>
              <w:jc w:val="center"/>
              <w:rPr>
                <w:rFonts w:ascii="Calibri" w:hAnsi="Calibri" w:cs="Tahoma"/>
                <w:sz w:val="22"/>
                <w:szCs w:val="22"/>
              </w:rPr>
            </w:pPr>
            <w:r w:rsidRPr="00792A65">
              <w:rPr>
                <w:rFonts w:ascii="Calibri" w:hAnsi="Calibri" w:cs="Tahoma"/>
                <w:sz w:val="22"/>
                <w:szCs w:val="22"/>
              </w:rPr>
              <w:t>Dirigenza professionale, tecnica ed amministrativa</w:t>
            </w:r>
          </w:p>
        </w:tc>
      </w:tr>
      <w:tr w:rsidR="007E0A69" w:rsidRPr="00792A65" w:rsidTr="00554B85">
        <w:tc>
          <w:tcPr>
            <w:tcW w:w="1417" w:type="dxa"/>
            <w:shd w:val="clear" w:color="auto" w:fill="BFBFBF"/>
            <w:tcMar>
              <w:left w:w="98" w:type="dxa"/>
            </w:tcMar>
          </w:tcPr>
          <w:p w:rsidR="007E0A69" w:rsidRPr="00792A65" w:rsidRDefault="007E0A69" w:rsidP="00554B85">
            <w:pPr>
              <w:pStyle w:val="Corpotesto1"/>
              <w:ind w:left="44" w:right="175"/>
              <w:jc w:val="center"/>
              <w:rPr>
                <w:rFonts w:ascii="Calibri" w:hAnsi="Calibri" w:cs="Tahoma"/>
                <w:sz w:val="22"/>
                <w:szCs w:val="22"/>
              </w:rPr>
            </w:pPr>
            <w:r w:rsidRPr="00792A65">
              <w:rPr>
                <w:rFonts w:ascii="Calibri" w:hAnsi="Calibri" w:cs="Tahoma"/>
                <w:sz w:val="22"/>
                <w:szCs w:val="22"/>
              </w:rPr>
              <w:t>scheda</w:t>
            </w:r>
          </w:p>
        </w:tc>
        <w:tc>
          <w:tcPr>
            <w:tcW w:w="2127" w:type="dxa"/>
            <w:shd w:val="clear" w:color="auto" w:fill="BFBFBF"/>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DIRETTORE</w:t>
            </w:r>
          </w:p>
        </w:tc>
        <w:tc>
          <w:tcPr>
            <w:tcW w:w="2236" w:type="dxa"/>
            <w:shd w:val="clear" w:color="auto" w:fill="BFBFBF"/>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DIRIGENTE</w:t>
            </w:r>
          </w:p>
        </w:tc>
        <w:tc>
          <w:tcPr>
            <w:tcW w:w="1733" w:type="dxa"/>
            <w:shd w:val="clear" w:color="auto" w:fill="BFBFBF"/>
            <w:tcMar>
              <w:left w:w="98" w:type="dxa"/>
            </w:tcMar>
          </w:tcPr>
          <w:p w:rsidR="007E0A69" w:rsidRPr="00792A65" w:rsidRDefault="007E0A69" w:rsidP="00554B85">
            <w:pPr>
              <w:pStyle w:val="Corpotesto1"/>
              <w:ind w:right="176"/>
              <w:jc w:val="center"/>
              <w:rPr>
                <w:rFonts w:ascii="Calibri" w:hAnsi="Calibri" w:cs="Tahoma"/>
                <w:sz w:val="22"/>
                <w:szCs w:val="22"/>
              </w:rPr>
            </w:pPr>
            <w:r w:rsidRPr="00792A65">
              <w:rPr>
                <w:rFonts w:ascii="Calibri" w:hAnsi="Calibri" w:cs="Tahoma"/>
                <w:sz w:val="22"/>
                <w:szCs w:val="22"/>
              </w:rPr>
              <w:t>DIRETTORE</w:t>
            </w:r>
          </w:p>
        </w:tc>
        <w:tc>
          <w:tcPr>
            <w:tcW w:w="1842" w:type="dxa"/>
            <w:shd w:val="clear" w:color="auto" w:fill="BFBFBF"/>
            <w:tcMar>
              <w:left w:w="98" w:type="dxa"/>
            </w:tcMar>
          </w:tcPr>
          <w:p w:rsidR="007E0A69" w:rsidRPr="00792A65" w:rsidRDefault="007E0A69" w:rsidP="00554B85">
            <w:pPr>
              <w:pStyle w:val="Corpotesto1"/>
              <w:ind w:left="43" w:right="175"/>
              <w:jc w:val="center"/>
              <w:rPr>
                <w:rFonts w:ascii="Calibri" w:hAnsi="Calibri" w:cs="Tahoma"/>
                <w:sz w:val="22"/>
                <w:szCs w:val="22"/>
              </w:rPr>
            </w:pPr>
            <w:r w:rsidRPr="00792A65">
              <w:rPr>
                <w:rFonts w:ascii="Calibri" w:hAnsi="Calibri" w:cs="Tahoma"/>
                <w:sz w:val="22"/>
                <w:szCs w:val="22"/>
              </w:rPr>
              <w:t>DIRIGENTE</w:t>
            </w:r>
          </w:p>
        </w:tc>
      </w:tr>
      <w:tr w:rsidR="007E0A69" w:rsidRPr="00792A65" w:rsidTr="00554B85">
        <w:tc>
          <w:tcPr>
            <w:tcW w:w="1417"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A</w:t>
            </w:r>
          </w:p>
        </w:tc>
        <w:tc>
          <w:tcPr>
            <w:tcW w:w="2127"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20</w:t>
            </w:r>
          </w:p>
        </w:tc>
        <w:tc>
          <w:tcPr>
            <w:tcW w:w="2236"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10</w:t>
            </w:r>
          </w:p>
        </w:tc>
        <w:tc>
          <w:tcPr>
            <w:tcW w:w="1733"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20</w:t>
            </w:r>
          </w:p>
        </w:tc>
        <w:tc>
          <w:tcPr>
            <w:tcW w:w="1842"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10</w:t>
            </w:r>
          </w:p>
        </w:tc>
      </w:tr>
      <w:tr w:rsidR="007E0A69" w:rsidRPr="00792A65" w:rsidTr="00554B85">
        <w:tc>
          <w:tcPr>
            <w:tcW w:w="1417"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B</w:t>
            </w:r>
          </w:p>
        </w:tc>
        <w:tc>
          <w:tcPr>
            <w:tcW w:w="2127"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60</w:t>
            </w:r>
          </w:p>
        </w:tc>
        <w:tc>
          <w:tcPr>
            <w:tcW w:w="2236"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70</w:t>
            </w:r>
          </w:p>
        </w:tc>
        <w:tc>
          <w:tcPr>
            <w:tcW w:w="1733"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10</w:t>
            </w:r>
          </w:p>
        </w:tc>
        <w:tc>
          <w:tcPr>
            <w:tcW w:w="1842"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10</w:t>
            </w:r>
          </w:p>
        </w:tc>
      </w:tr>
      <w:tr w:rsidR="007E0A69" w:rsidRPr="00792A65" w:rsidTr="00554B85">
        <w:tc>
          <w:tcPr>
            <w:tcW w:w="1417"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C</w:t>
            </w:r>
          </w:p>
        </w:tc>
        <w:tc>
          <w:tcPr>
            <w:tcW w:w="2127"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20</w:t>
            </w:r>
          </w:p>
        </w:tc>
        <w:tc>
          <w:tcPr>
            <w:tcW w:w="2236"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20</w:t>
            </w:r>
          </w:p>
        </w:tc>
        <w:tc>
          <w:tcPr>
            <w:tcW w:w="1733"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70</w:t>
            </w:r>
          </w:p>
        </w:tc>
        <w:tc>
          <w:tcPr>
            <w:tcW w:w="1842"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80</w:t>
            </w:r>
          </w:p>
        </w:tc>
      </w:tr>
      <w:tr w:rsidR="007E0A69" w:rsidRPr="00792A65" w:rsidTr="00554B85">
        <w:tc>
          <w:tcPr>
            <w:tcW w:w="1417" w:type="dxa"/>
            <w:tcMar>
              <w:left w:w="98" w:type="dxa"/>
            </w:tcMar>
          </w:tcPr>
          <w:p w:rsidR="007E0A69" w:rsidRPr="00792A65" w:rsidRDefault="007E0A69" w:rsidP="00554B85">
            <w:pPr>
              <w:pStyle w:val="Corpotesto1"/>
              <w:tabs>
                <w:tab w:val="left" w:pos="894"/>
              </w:tabs>
              <w:ind w:left="44" w:right="175"/>
              <w:jc w:val="center"/>
              <w:rPr>
                <w:rFonts w:ascii="Calibri" w:hAnsi="Calibri" w:cs="Tahoma"/>
                <w:sz w:val="22"/>
                <w:szCs w:val="22"/>
              </w:rPr>
            </w:pPr>
            <w:r w:rsidRPr="00792A65">
              <w:rPr>
                <w:rFonts w:ascii="Calibri" w:hAnsi="Calibri" w:cs="Tahoma"/>
                <w:sz w:val="22"/>
                <w:szCs w:val="22"/>
              </w:rPr>
              <w:t>totale</w:t>
            </w:r>
          </w:p>
        </w:tc>
        <w:tc>
          <w:tcPr>
            <w:tcW w:w="2127"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100</w:t>
            </w:r>
          </w:p>
        </w:tc>
        <w:tc>
          <w:tcPr>
            <w:tcW w:w="2236"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100</w:t>
            </w:r>
          </w:p>
        </w:tc>
        <w:tc>
          <w:tcPr>
            <w:tcW w:w="1733"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100</w:t>
            </w:r>
          </w:p>
        </w:tc>
        <w:tc>
          <w:tcPr>
            <w:tcW w:w="1842" w:type="dxa"/>
            <w:tcMar>
              <w:left w:w="98" w:type="dxa"/>
            </w:tcMar>
          </w:tcPr>
          <w:p w:rsidR="007E0A69" w:rsidRPr="00792A65" w:rsidRDefault="007E0A69" w:rsidP="00554B85">
            <w:pPr>
              <w:pStyle w:val="Corpotesto1"/>
              <w:ind w:left="284" w:right="565"/>
              <w:jc w:val="center"/>
              <w:rPr>
                <w:rFonts w:ascii="Calibri" w:hAnsi="Calibri" w:cs="Tahoma"/>
                <w:sz w:val="22"/>
                <w:szCs w:val="22"/>
              </w:rPr>
            </w:pPr>
            <w:r w:rsidRPr="00792A65">
              <w:rPr>
                <w:rFonts w:ascii="Calibri" w:hAnsi="Calibri" w:cs="Tahoma"/>
                <w:sz w:val="22"/>
                <w:szCs w:val="22"/>
              </w:rPr>
              <w:t>100</w:t>
            </w:r>
          </w:p>
        </w:tc>
      </w:tr>
    </w:tbl>
    <w:p w:rsidR="007E0A69" w:rsidRPr="00792A65" w:rsidRDefault="007E0A69" w:rsidP="00792A65">
      <w:pPr>
        <w:ind w:left="284" w:right="565"/>
        <w:jc w:val="both"/>
        <w:rPr>
          <w:rFonts w:ascii="Calibri" w:hAnsi="Calibri" w:cs="Tahoma"/>
          <w:sz w:val="22"/>
          <w:szCs w:val="22"/>
        </w:rPr>
      </w:pPr>
    </w:p>
    <w:p w:rsidR="007E0A69" w:rsidRPr="00792A65" w:rsidRDefault="007E0A69" w:rsidP="00792A65">
      <w:pPr>
        <w:spacing w:line="276" w:lineRule="auto"/>
        <w:ind w:left="284" w:right="565"/>
        <w:jc w:val="both"/>
        <w:rPr>
          <w:rFonts w:ascii="Calibri" w:hAnsi="Calibri" w:cs="Tahoma"/>
          <w:sz w:val="22"/>
          <w:szCs w:val="22"/>
        </w:rPr>
      </w:pPr>
      <w:r w:rsidRPr="00792A65">
        <w:rPr>
          <w:rFonts w:ascii="Calibri" w:hAnsi="Calibri" w:cs="Tahoma"/>
          <w:sz w:val="22"/>
          <w:szCs w:val="22"/>
        </w:rPr>
        <w:t>Gli obiettivi sono assegnati secondo i seguenti criteri:</w:t>
      </w:r>
    </w:p>
    <w:p w:rsidR="007E0A69" w:rsidRPr="00792A65" w:rsidRDefault="007E0A69" w:rsidP="00BD2B7B">
      <w:pPr>
        <w:numPr>
          <w:ilvl w:val="0"/>
          <w:numId w:val="11"/>
        </w:numPr>
        <w:spacing w:line="276" w:lineRule="auto"/>
        <w:ind w:left="709" w:right="565" w:hanging="425"/>
        <w:jc w:val="both"/>
        <w:rPr>
          <w:rFonts w:ascii="Calibri" w:hAnsi="Calibri" w:cs="Tahoma"/>
          <w:sz w:val="22"/>
          <w:szCs w:val="22"/>
        </w:rPr>
      </w:pPr>
      <w:r w:rsidRPr="00792A65">
        <w:rPr>
          <w:rFonts w:ascii="Calibri" w:hAnsi="Calibri" w:cs="Tahoma"/>
          <w:sz w:val="22"/>
          <w:szCs w:val="22"/>
        </w:rPr>
        <w:t>Rilevanza dell’obiettivo nell’ambito delle attività svolte dal valutato.</w:t>
      </w:r>
    </w:p>
    <w:p w:rsidR="007E0A69" w:rsidRPr="00792A65" w:rsidRDefault="007E0A69" w:rsidP="00BD2B7B">
      <w:pPr>
        <w:numPr>
          <w:ilvl w:val="0"/>
          <w:numId w:val="11"/>
        </w:numPr>
        <w:spacing w:line="276" w:lineRule="auto"/>
        <w:ind w:left="709" w:right="565" w:hanging="425"/>
        <w:jc w:val="both"/>
        <w:rPr>
          <w:rFonts w:ascii="Calibri" w:hAnsi="Calibri" w:cs="Tahoma"/>
          <w:sz w:val="22"/>
          <w:szCs w:val="22"/>
        </w:rPr>
      </w:pPr>
      <w:r w:rsidRPr="00792A65">
        <w:rPr>
          <w:rFonts w:ascii="Calibri" w:hAnsi="Calibri" w:cs="Tahoma"/>
          <w:sz w:val="22"/>
          <w:szCs w:val="22"/>
        </w:rPr>
        <w:lastRenderedPageBreak/>
        <w:t>Attenzione sugli obiettivi strategici (normalmente 5 o 6, massimo 10 per le strutture ad elevata complessità)</w:t>
      </w:r>
    </w:p>
    <w:p w:rsidR="007E0A69" w:rsidRPr="00792A65" w:rsidRDefault="007E0A69" w:rsidP="00BD2B7B">
      <w:pPr>
        <w:numPr>
          <w:ilvl w:val="0"/>
          <w:numId w:val="11"/>
        </w:numPr>
        <w:spacing w:line="276" w:lineRule="auto"/>
        <w:ind w:left="709" w:right="565" w:hanging="425"/>
        <w:jc w:val="both"/>
        <w:rPr>
          <w:rFonts w:ascii="Calibri" w:hAnsi="Calibri" w:cs="Tahoma"/>
          <w:sz w:val="22"/>
          <w:szCs w:val="22"/>
        </w:rPr>
      </w:pPr>
      <w:r w:rsidRPr="00792A65">
        <w:rPr>
          <w:rFonts w:ascii="Calibri" w:hAnsi="Calibri" w:cs="Tahoma"/>
          <w:sz w:val="22"/>
          <w:szCs w:val="22"/>
        </w:rPr>
        <w:t>Gli obiettivi assegnati ai dirigenti devono poter essere verificato senza ambiguità.</w:t>
      </w:r>
    </w:p>
    <w:p w:rsidR="007E0A69" w:rsidRPr="00792A65" w:rsidRDefault="007E0A69" w:rsidP="00BD2B7B">
      <w:pPr>
        <w:numPr>
          <w:ilvl w:val="0"/>
          <w:numId w:val="11"/>
        </w:numPr>
        <w:spacing w:line="276" w:lineRule="auto"/>
        <w:ind w:left="709" w:right="565" w:hanging="425"/>
        <w:jc w:val="both"/>
        <w:rPr>
          <w:rFonts w:ascii="Calibri" w:hAnsi="Calibri" w:cs="Tahoma"/>
          <w:sz w:val="22"/>
          <w:szCs w:val="22"/>
        </w:rPr>
      </w:pPr>
      <w:r w:rsidRPr="00792A65">
        <w:rPr>
          <w:rFonts w:ascii="Calibri" w:hAnsi="Calibri" w:cs="Tahoma"/>
          <w:sz w:val="22"/>
          <w:szCs w:val="22"/>
        </w:rPr>
        <w:t>Gli indicatori relativi alla misurazione degli obiettivi dovranno essere ben definiti, corredati dalle modalità di calcolo del loro valore e dai dati elementari posti a base dei calcoli.</w:t>
      </w:r>
    </w:p>
    <w:p w:rsidR="007E0A69" w:rsidRPr="00792A65" w:rsidRDefault="007E0A69" w:rsidP="00BD2B7B">
      <w:pPr>
        <w:numPr>
          <w:ilvl w:val="0"/>
          <w:numId w:val="11"/>
        </w:numPr>
        <w:spacing w:line="276" w:lineRule="auto"/>
        <w:ind w:left="709" w:right="565" w:hanging="425"/>
        <w:jc w:val="both"/>
        <w:rPr>
          <w:rFonts w:ascii="Calibri" w:hAnsi="Calibri" w:cs="Tahoma"/>
          <w:sz w:val="22"/>
          <w:szCs w:val="22"/>
        </w:rPr>
      </w:pPr>
      <w:r w:rsidRPr="00792A65">
        <w:rPr>
          <w:rFonts w:ascii="Calibri" w:hAnsi="Calibri" w:cs="Tahoma"/>
          <w:sz w:val="22"/>
          <w:szCs w:val="22"/>
        </w:rPr>
        <w:t>Gli obiettivi di natura qualitativa saranno assegnati in assenza di alternative misurabili o solo se considerati talmente rilevanti da non poter essere esclusi dalla valutazione</w:t>
      </w:r>
    </w:p>
    <w:p w:rsidR="007E0A69" w:rsidRPr="00792A65" w:rsidRDefault="007E0A69" w:rsidP="00BD2B7B">
      <w:pPr>
        <w:numPr>
          <w:ilvl w:val="0"/>
          <w:numId w:val="11"/>
        </w:numPr>
        <w:spacing w:line="276" w:lineRule="auto"/>
        <w:ind w:left="709" w:right="565" w:hanging="425"/>
        <w:jc w:val="both"/>
        <w:rPr>
          <w:rFonts w:ascii="Calibri" w:hAnsi="Calibri" w:cs="Tahoma"/>
          <w:sz w:val="22"/>
          <w:szCs w:val="22"/>
        </w:rPr>
      </w:pPr>
      <w:r w:rsidRPr="00792A65">
        <w:rPr>
          <w:rFonts w:ascii="Calibri" w:hAnsi="Calibri" w:cs="Tahoma"/>
          <w:sz w:val="22"/>
          <w:szCs w:val="22"/>
        </w:rPr>
        <w:t xml:space="preserve">Dovrà essere garantita la controllabilità dell’obiettivo da parte del valutato. </w:t>
      </w:r>
    </w:p>
    <w:p w:rsidR="007E0A69" w:rsidRPr="00792A65" w:rsidRDefault="007E0A69" w:rsidP="00BD2B7B">
      <w:pPr>
        <w:numPr>
          <w:ilvl w:val="0"/>
          <w:numId w:val="11"/>
        </w:numPr>
        <w:spacing w:line="276" w:lineRule="auto"/>
        <w:ind w:left="709" w:right="565" w:hanging="425"/>
        <w:jc w:val="both"/>
        <w:rPr>
          <w:rFonts w:ascii="Calibri" w:hAnsi="Calibri" w:cs="Tahoma"/>
          <w:sz w:val="22"/>
          <w:szCs w:val="22"/>
        </w:rPr>
      </w:pPr>
      <w:r w:rsidRPr="00792A65">
        <w:rPr>
          <w:rFonts w:ascii="Calibri" w:hAnsi="Calibri" w:cs="Tahoma"/>
          <w:sz w:val="22"/>
          <w:szCs w:val="22"/>
        </w:rPr>
        <w:t>E’ necessario che il conseguimento dell’obiettivo dipenda solo, o almeno in misura prevalente, dall’attività svolta dal valutato stesso e dalla sua struttura. Nel caso l’obiettivo costituisca il risultato di un processo complesso che coinvolge più attori differenti, occorre valutare solo il sotto-obiettivo, relativo alla parte di processo direttamente controllata, se questo non fosse possibile tale obiettivo dovrà essere assegnato a tutti gli attori del processo.</w:t>
      </w:r>
    </w:p>
    <w:p w:rsidR="007E0A69" w:rsidRPr="00792A65" w:rsidRDefault="007E0A69" w:rsidP="00BD2B7B">
      <w:pPr>
        <w:numPr>
          <w:ilvl w:val="0"/>
          <w:numId w:val="11"/>
        </w:numPr>
        <w:spacing w:line="276" w:lineRule="auto"/>
        <w:ind w:left="709" w:right="565" w:hanging="425"/>
        <w:jc w:val="both"/>
        <w:rPr>
          <w:rFonts w:ascii="Calibri" w:hAnsi="Calibri" w:cs="Tahoma"/>
          <w:sz w:val="22"/>
          <w:szCs w:val="22"/>
        </w:rPr>
      </w:pPr>
      <w:r w:rsidRPr="00792A65">
        <w:rPr>
          <w:rFonts w:ascii="Calibri" w:hAnsi="Calibri" w:cs="Tahoma"/>
          <w:sz w:val="22"/>
          <w:szCs w:val="22"/>
        </w:rPr>
        <w:t>Per gli obiettivi strategici pluriennali, che vanno modulati alle cadenze annuali del ciclo di valutazione, occorre individuare il corrispondente obiettivo operativo annuale, inteso come effetto atteso dell’attività svolta nel singolo esercizio, ai fini del raggiungimento dell’obiettivo finale</w:t>
      </w:r>
    </w:p>
    <w:p w:rsidR="007E0A69" w:rsidRDefault="007E0A69" w:rsidP="00792A65">
      <w:pPr>
        <w:pStyle w:val="Corpodeltesto2"/>
        <w:ind w:left="284" w:right="565"/>
        <w:outlineLvl w:val="1"/>
        <w:rPr>
          <w:rFonts w:ascii="Calibri" w:hAnsi="Calibri" w:cs="Tahoma"/>
          <w:b/>
          <w:sz w:val="22"/>
          <w:szCs w:val="22"/>
        </w:rPr>
      </w:pPr>
    </w:p>
    <w:p w:rsidR="007E0A69" w:rsidRPr="0002470D" w:rsidRDefault="007E0A69" w:rsidP="00792A65">
      <w:pPr>
        <w:pStyle w:val="Corpodeltesto2"/>
        <w:ind w:left="284" w:right="565"/>
        <w:outlineLvl w:val="1"/>
        <w:rPr>
          <w:rFonts w:ascii="Calibri" w:hAnsi="Calibri" w:cs="Tahoma"/>
          <w:b/>
          <w:sz w:val="22"/>
          <w:szCs w:val="22"/>
        </w:rPr>
      </w:pPr>
      <w:bookmarkStart w:id="14" w:name="_Toc72510517"/>
      <w:r w:rsidRPr="0002470D">
        <w:rPr>
          <w:rFonts w:ascii="Calibri" w:hAnsi="Calibri" w:cs="Tahoma"/>
          <w:b/>
          <w:sz w:val="22"/>
          <w:szCs w:val="22"/>
        </w:rPr>
        <w:t>7.1 OBIETTIVI ECONOMICI - SCHEDA A</w:t>
      </w:r>
      <w:bookmarkEnd w:id="14"/>
      <w:r w:rsidRPr="0002470D">
        <w:rPr>
          <w:rFonts w:ascii="Calibri" w:hAnsi="Calibri" w:cs="Tahoma"/>
          <w:b/>
          <w:sz w:val="22"/>
          <w:szCs w:val="22"/>
        </w:rPr>
        <w:t xml:space="preserve"> </w:t>
      </w:r>
    </w:p>
    <w:p w:rsidR="007E0A69" w:rsidRPr="00792A65" w:rsidRDefault="007E0A69" w:rsidP="00792A65">
      <w:pPr>
        <w:pStyle w:val="Corpodeltesto2"/>
        <w:ind w:left="284" w:right="565" w:firstLine="360"/>
        <w:outlineLvl w:val="1"/>
        <w:rPr>
          <w:rFonts w:ascii="Calibri" w:hAnsi="Calibri" w:cs="Tahoma"/>
          <w:b/>
          <w:i/>
          <w:sz w:val="22"/>
          <w:szCs w:val="22"/>
        </w:rPr>
      </w:pPr>
    </w:p>
    <w:p w:rsidR="007E0A69" w:rsidRPr="00792A65" w:rsidRDefault="007E0A69" w:rsidP="00792A65">
      <w:pPr>
        <w:pStyle w:val="Corpodeltesto2"/>
        <w:spacing w:line="276" w:lineRule="auto"/>
        <w:ind w:left="284" w:right="565"/>
        <w:rPr>
          <w:rFonts w:ascii="Calibri" w:hAnsi="Calibri" w:cs="Tahoma"/>
          <w:sz w:val="22"/>
          <w:szCs w:val="22"/>
        </w:rPr>
      </w:pPr>
      <w:r w:rsidRPr="00792A65">
        <w:rPr>
          <w:rFonts w:ascii="Calibri" w:hAnsi="Calibri" w:cs="Tahoma"/>
          <w:sz w:val="22"/>
          <w:szCs w:val="22"/>
        </w:rPr>
        <w:t>La scheda A di Budget e di valutazione della performance della dirigenza assegnata ad una struttura organizzativa contiene gli obiettivi economici direttamente misurabili e controllabili dalla struttura in esame. Nella sua accezione più ampia però tale scheda può essere composta dai costi espressivi di tutte le risorse e quindi da tutti i fattori produttivi impiegati per l’attività prodotta dalla struttura (Conto Economico di struttura). Tali costi derivano dalla contabilità analitica aziendale secondo le logiche di attribuzione diretta o indiretta (ribaltamenti) in essere.</w:t>
      </w:r>
    </w:p>
    <w:p w:rsidR="007E0A69" w:rsidRPr="00792A65" w:rsidRDefault="007E0A69" w:rsidP="00792A65">
      <w:pPr>
        <w:pStyle w:val="Corpodeltesto2"/>
        <w:ind w:left="284" w:right="565"/>
        <w:rPr>
          <w:rFonts w:ascii="Calibri" w:hAnsi="Calibri" w:cs="Tahoma"/>
          <w:sz w:val="22"/>
          <w:szCs w:val="22"/>
        </w:rPr>
      </w:pPr>
      <w:r w:rsidRPr="00792A65">
        <w:rPr>
          <w:rFonts w:ascii="Calibri" w:hAnsi="Calibri" w:cs="Tahoma"/>
          <w:sz w:val="22"/>
          <w:szCs w:val="22"/>
        </w:rPr>
        <w:t>L’ASL Toscana Centro ha adottato la seguente scelta di responsabilizzazione economica delle risorse aziendali:</w:t>
      </w:r>
    </w:p>
    <w:p w:rsidR="007E0A69" w:rsidRPr="00792A65" w:rsidRDefault="007E0A69" w:rsidP="00792A65">
      <w:pPr>
        <w:pStyle w:val="Corpodeltesto2"/>
        <w:ind w:left="284" w:right="565"/>
        <w:rPr>
          <w:rFonts w:ascii="Calibri" w:hAnsi="Calibri" w:cs="Tahoma"/>
          <w:sz w:val="22"/>
          <w:szCs w:val="22"/>
        </w:rPr>
      </w:pPr>
    </w:p>
    <w:p w:rsidR="007E0A69" w:rsidRDefault="007E0A69" w:rsidP="0060153F">
      <w:pPr>
        <w:spacing w:line="276" w:lineRule="auto"/>
        <w:ind w:left="284" w:right="565"/>
        <w:jc w:val="both"/>
        <w:rPr>
          <w:rFonts w:ascii="Calibri" w:hAnsi="Calibri" w:cs="Tahoma"/>
          <w:sz w:val="22"/>
          <w:szCs w:val="22"/>
        </w:rPr>
      </w:pPr>
      <w:r w:rsidRPr="00792A65">
        <w:rPr>
          <w:rFonts w:ascii="Calibri" w:hAnsi="Calibri" w:cs="Tahoma"/>
          <w:b/>
          <w:sz w:val="22"/>
          <w:szCs w:val="22"/>
        </w:rPr>
        <w:t xml:space="preserve">Consumi sanitari e non sanitari: </w:t>
      </w:r>
      <w:r w:rsidRPr="00792A65">
        <w:rPr>
          <w:rFonts w:ascii="Calibri" w:hAnsi="Calibri" w:cs="Tahoma"/>
          <w:sz w:val="22"/>
          <w:szCs w:val="22"/>
        </w:rPr>
        <w:t xml:space="preserve">vengono assegnati direttamente e indirettamente (per i centri di costo comuni di </w:t>
      </w:r>
      <w:proofErr w:type="spellStart"/>
      <w:r w:rsidRPr="00792A65">
        <w:rPr>
          <w:rFonts w:ascii="Calibri" w:hAnsi="Calibri" w:cs="Tahoma"/>
          <w:sz w:val="22"/>
          <w:szCs w:val="22"/>
        </w:rPr>
        <w:t>setting</w:t>
      </w:r>
      <w:proofErr w:type="spellEnd"/>
      <w:r w:rsidRPr="00792A65">
        <w:rPr>
          <w:rFonts w:ascii="Calibri" w:hAnsi="Calibri" w:cs="Tahoma"/>
          <w:sz w:val="22"/>
          <w:szCs w:val="22"/>
        </w:rPr>
        <w:t>, sala operatoria, poliambulatori…) alle strutture organizzative che li impiegano nei propri processi produttivi e/o amministrativi secondo le registrazioni degli scarichi di magazzino in procedura. Inoltre l’obiettivo complessivo in termini di spesa farmaceutica e di consumi sanitari, attribuito dalla Regione Toscana nelle Linee Guida al Bilancio di Previsione all’Asl, viene assegnato</w:t>
      </w:r>
      <w:r>
        <w:rPr>
          <w:rFonts w:ascii="Calibri" w:hAnsi="Calibri" w:cs="Tahoma"/>
          <w:sz w:val="22"/>
          <w:szCs w:val="22"/>
        </w:rPr>
        <w:t xml:space="preserve"> rispettivamente:</w:t>
      </w:r>
    </w:p>
    <w:p w:rsidR="007E0A69" w:rsidRPr="008520FF" w:rsidRDefault="007E0A69" w:rsidP="00DC1B2E">
      <w:pPr>
        <w:numPr>
          <w:ilvl w:val="0"/>
          <w:numId w:val="13"/>
        </w:numPr>
        <w:spacing w:line="276" w:lineRule="auto"/>
        <w:ind w:right="565"/>
        <w:jc w:val="both"/>
        <w:rPr>
          <w:rFonts w:ascii="Calibri" w:hAnsi="Calibri" w:cs="Tahoma"/>
          <w:b/>
          <w:sz w:val="22"/>
          <w:szCs w:val="22"/>
        </w:rPr>
      </w:pPr>
      <w:r w:rsidRPr="00431675">
        <w:rPr>
          <w:rFonts w:ascii="Calibri" w:hAnsi="Calibri" w:cs="Tahoma"/>
          <w:sz w:val="22"/>
          <w:szCs w:val="22"/>
        </w:rPr>
        <w:t xml:space="preserve">alla SOC Governance Farmaceutica e Appropriatezza prescrittiva che definisce le linee di governo e di appropriatezza sui medicinali, individua gli obiettivi più appropriati in termini di efficacia e di efficienza, da declinare e distribuire ai diversi attori aziendali coinvolti (inclusa la </w:t>
      </w:r>
      <w:r w:rsidRPr="008520FF">
        <w:rPr>
          <w:rFonts w:ascii="Calibri" w:hAnsi="Calibri" w:cs="Tahoma"/>
          <w:sz w:val="22"/>
          <w:szCs w:val="22"/>
        </w:rPr>
        <w:t>Medicina Generale), indispensabili per il non superamento del tetto massimo di spesa annualmente assegnato.</w:t>
      </w:r>
    </w:p>
    <w:p w:rsidR="007E0A69" w:rsidRPr="008520FF" w:rsidRDefault="007E0A69" w:rsidP="00DC1B2E">
      <w:pPr>
        <w:numPr>
          <w:ilvl w:val="0"/>
          <w:numId w:val="13"/>
        </w:numPr>
        <w:spacing w:line="276" w:lineRule="auto"/>
        <w:ind w:right="565"/>
        <w:jc w:val="both"/>
        <w:rPr>
          <w:rFonts w:ascii="Calibri" w:hAnsi="Calibri" w:cs="Tahoma"/>
          <w:sz w:val="22"/>
          <w:szCs w:val="22"/>
        </w:rPr>
      </w:pPr>
      <w:r w:rsidRPr="008520FF">
        <w:rPr>
          <w:rFonts w:ascii="Calibri" w:hAnsi="Calibri" w:cs="Tahoma"/>
          <w:sz w:val="22"/>
          <w:szCs w:val="22"/>
        </w:rPr>
        <w:t>al Dipartimento del Farmaco che definisce e governa le differenti linee distributive, il rispetto delle gare e la spesa sanitaria per Dispositivi e per gli altri beni sanitari.</w:t>
      </w:r>
    </w:p>
    <w:p w:rsidR="007E0A69" w:rsidRPr="008520FF" w:rsidRDefault="007E0A69" w:rsidP="00C91C40">
      <w:pPr>
        <w:numPr>
          <w:ilvl w:val="0"/>
          <w:numId w:val="13"/>
        </w:numPr>
        <w:spacing w:line="276" w:lineRule="auto"/>
        <w:ind w:right="565"/>
        <w:jc w:val="both"/>
        <w:rPr>
          <w:rFonts w:ascii="Calibri" w:hAnsi="Calibri" w:cs="Tahoma"/>
          <w:sz w:val="22"/>
          <w:szCs w:val="22"/>
        </w:rPr>
      </w:pPr>
      <w:r w:rsidRPr="008520FF">
        <w:rPr>
          <w:rFonts w:ascii="Calibri" w:hAnsi="Calibri" w:cs="Tahoma"/>
          <w:sz w:val="22"/>
          <w:szCs w:val="22"/>
        </w:rPr>
        <w:t xml:space="preserve">La responsabilità sugli obiettivi aziendali relativi ai Medicinali verrà assegnata anche al Dipartimento del Farmaco, in quanto coinvolto nella realizzazione e nel perseguimento delle linee strategiche definite dalle azioni di appropriatezza della SOC Governance. Trattandosi di un importante contributo di natura tecnica e procedurale  al raggiungimento dei suddetti obiettivi viene predisposta per il Dipartimento del Farmaco una scheda economica pesata in modo differenziato: gli obiettivi economici riguardanti i dispositivi e tutti gli altri beni sanitari di diretto ed esclusivo governo del Dipartimento contribuiscono per il 70% alla valutazione del </w:t>
      </w:r>
      <w:r w:rsidRPr="008520FF">
        <w:rPr>
          <w:rFonts w:ascii="Calibri" w:hAnsi="Calibri" w:cs="Tahoma"/>
          <w:sz w:val="22"/>
          <w:szCs w:val="22"/>
        </w:rPr>
        <w:lastRenderedPageBreak/>
        <w:t xml:space="preserve">Dipartimento mentre il restante 30% viene assegnato sulla base dei risultati raggiunti dagli obiettivi sulla Farmaceutica. </w:t>
      </w:r>
    </w:p>
    <w:p w:rsidR="007E0A69" w:rsidRPr="008520FF" w:rsidRDefault="007E0A69" w:rsidP="00431675">
      <w:pPr>
        <w:spacing w:line="276" w:lineRule="auto"/>
        <w:ind w:left="644" w:right="565"/>
        <w:jc w:val="both"/>
        <w:rPr>
          <w:rFonts w:ascii="Calibri" w:hAnsi="Calibri" w:cs="Tahoma"/>
          <w:sz w:val="22"/>
          <w:szCs w:val="22"/>
        </w:rPr>
      </w:pPr>
    </w:p>
    <w:p w:rsidR="007E0A69" w:rsidRPr="008520FF" w:rsidRDefault="007E0A69" w:rsidP="00DD2F31">
      <w:pPr>
        <w:spacing w:line="276" w:lineRule="auto"/>
        <w:ind w:left="284" w:right="565"/>
        <w:jc w:val="both"/>
        <w:rPr>
          <w:rFonts w:ascii="Calibri" w:hAnsi="Calibri" w:cs="Tahoma"/>
        </w:rPr>
      </w:pPr>
      <w:r w:rsidRPr="008520FF">
        <w:rPr>
          <w:rFonts w:ascii="Calibri" w:hAnsi="Calibri" w:cs="Tahoma"/>
        </w:rPr>
        <w:t xml:space="preserve">Parallelamente agli obiettivi economici complessivi sul volume di risorse gestite dalla struttura vengono assegnati dalla SOC Appropriatezza prescrittiva e Governance farmaceutica specifici obiettivi di appropriatezza farmaceutica, definiti  su singole molecole in termini numerico-quantitativi, in grado di produrre effetti diretti o indiretti (sui consumi della struttura o, quindi, sui consumi indotti a livello di prescrizioni territoriali) sull’economicità della gestione e quindi sulla spesa. </w:t>
      </w:r>
    </w:p>
    <w:p w:rsidR="007E0A69" w:rsidRPr="008520FF" w:rsidRDefault="007E0A69" w:rsidP="0060153F">
      <w:pPr>
        <w:pStyle w:val="Corpodeltesto2"/>
        <w:ind w:left="284" w:right="565"/>
        <w:rPr>
          <w:rFonts w:ascii="Calibri" w:hAnsi="Calibri" w:cs="Tahoma"/>
          <w:sz w:val="22"/>
          <w:szCs w:val="22"/>
        </w:rPr>
      </w:pPr>
    </w:p>
    <w:p w:rsidR="007E0A69" w:rsidRPr="008520FF" w:rsidRDefault="007E0A69" w:rsidP="00B87F32">
      <w:pPr>
        <w:pStyle w:val="Corpodeltesto2"/>
        <w:spacing w:line="276" w:lineRule="auto"/>
        <w:ind w:left="284" w:right="565"/>
        <w:rPr>
          <w:rFonts w:ascii="Calibri" w:hAnsi="Calibri" w:cs="Tahoma"/>
          <w:sz w:val="22"/>
          <w:szCs w:val="22"/>
        </w:rPr>
      </w:pPr>
      <w:r w:rsidRPr="008520FF">
        <w:rPr>
          <w:rFonts w:ascii="Calibri" w:hAnsi="Calibri" w:cs="Tahoma"/>
          <w:b/>
          <w:sz w:val="22"/>
          <w:szCs w:val="22"/>
        </w:rPr>
        <w:t>Personale</w:t>
      </w:r>
      <w:r w:rsidRPr="008520FF">
        <w:rPr>
          <w:rFonts w:ascii="Calibri" w:hAnsi="Calibri" w:cs="Tahoma"/>
          <w:sz w:val="22"/>
          <w:szCs w:val="22"/>
        </w:rPr>
        <w:t xml:space="preserve">: vengono assegnati direttamente e indirettamente (per i centri di costo comuni di </w:t>
      </w:r>
      <w:proofErr w:type="spellStart"/>
      <w:r w:rsidRPr="008520FF">
        <w:rPr>
          <w:rFonts w:ascii="Calibri" w:hAnsi="Calibri" w:cs="Tahoma"/>
          <w:sz w:val="22"/>
          <w:szCs w:val="22"/>
        </w:rPr>
        <w:t>setting</w:t>
      </w:r>
      <w:proofErr w:type="spellEnd"/>
      <w:r w:rsidRPr="008520FF">
        <w:rPr>
          <w:rFonts w:ascii="Calibri" w:hAnsi="Calibri" w:cs="Tahoma"/>
          <w:sz w:val="22"/>
          <w:szCs w:val="22"/>
        </w:rPr>
        <w:t xml:space="preserve">, sala operatoria, poliambulatori…) alle strutture organizzative che li impiegano nei propri processi produttivi e/o amministrativi secondo le assegnazioni ai centri di costo operate dai Dipartimenti Risorse Umane, Infermieristico e Tecnico Sanitario.  Inoltre l’obiettivo complessivo in termini di spesa del Personale, attribuito dalla Regione Toscana nelle Linee Guida al Bilancio di Previsione all’Asl, viene assegnato al Dipartimento delle Risorse Umane che ne  coordina e governa i processi di acquisizione anche attraverso lo strumento della “scheda dei carichi di lavoro” – attualmente predisposta  per le strutture sanitarie ospedaliere ed in corso la sua realizzazione per quelle territoriali e la valutazione della fattibilità per quelle amministrative – annualmente preparata dalla SOS </w:t>
      </w:r>
      <w:proofErr w:type="spellStart"/>
      <w:r w:rsidRPr="008520FF">
        <w:rPr>
          <w:rFonts w:ascii="Calibri" w:hAnsi="Calibri" w:cs="Tahoma"/>
          <w:sz w:val="22"/>
          <w:szCs w:val="22"/>
        </w:rPr>
        <w:t>Controlling</w:t>
      </w:r>
      <w:proofErr w:type="spellEnd"/>
      <w:r w:rsidRPr="008520FF">
        <w:rPr>
          <w:rFonts w:ascii="Calibri" w:hAnsi="Calibri" w:cs="Tahoma"/>
          <w:sz w:val="22"/>
          <w:szCs w:val="22"/>
        </w:rPr>
        <w:t xml:space="preserve"> Ospedali. </w:t>
      </w:r>
    </w:p>
    <w:p w:rsidR="007E0A69" w:rsidRPr="008520FF" w:rsidRDefault="007E0A69" w:rsidP="00B87F32">
      <w:pPr>
        <w:pStyle w:val="Corpodeltesto2"/>
        <w:spacing w:line="276" w:lineRule="auto"/>
        <w:ind w:left="284" w:right="565"/>
        <w:rPr>
          <w:rFonts w:ascii="Calibri" w:hAnsi="Calibri" w:cs="Tahoma"/>
          <w:sz w:val="22"/>
          <w:szCs w:val="22"/>
        </w:rPr>
      </w:pPr>
    </w:p>
    <w:p w:rsidR="007E0A69" w:rsidRPr="008520FF" w:rsidRDefault="007E0A69" w:rsidP="00B87F32">
      <w:pPr>
        <w:pStyle w:val="Corpodeltesto2"/>
        <w:spacing w:line="276" w:lineRule="auto"/>
        <w:ind w:left="284" w:right="565"/>
        <w:rPr>
          <w:rFonts w:ascii="Calibri" w:hAnsi="Calibri" w:cs="Tahoma"/>
          <w:sz w:val="22"/>
          <w:szCs w:val="22"/>
        </w:rPr>
      </w:pPr>
      <w:r w:rsidRPr="008520FF">
        <w:rPr>
          <w:rFonts w:ascii="Calibri" w:hAnsi="Calibri" w:cs="Tahoma"/>
          <w:sz w:val="22"/>
          <w:szCs w:val="22"/>
        </w:rPr>
        <w:t xml:space="preserve">Tutti gli altri fattori produttivi impiegati nel processo produttivo e rilevati contabilmente attraverso le registrazioni di Contabilità Analitica sui centri di costo aziendali, saranno oggetto di una duplice imputazione, sia nel budget delle strutture produttive che  in quello delle strutture amministrative e tecniche che in qualità di </w:t>
      </w:r>
      <w:r w:rsidRPr="008520FF">
        <w:rPr>
          <w:rFonts w:ascii="Calibri" w:hAnsi="Calibri" w:cs="Tahoma"/>
          <w:i/>
          <w:sz w:val="22"/>
          <w:szCs w:val="22"/>
        </w:rPr>
        <w:t>consegnatari di spesa</w:t>
      </w:r>
      <w:r w:rsidRPr="008520FF">
        <w:rPr>
          <w:rFonts w:ascii="Calibri" w:hAnsi="Calibri" w:cs="Tahoma"/>
          <w:sz w:val="22"/>
          <w:szCs w:val="22"/>
        </w:rPr>
        <w:t xml:space="preserve"> detengono il governo complessivo della spesa e vengono responsabilizzati nel raggiungimento degli obiettivi aziendali individuati oltre ad avere il compito di monitorare mensilmente le previsioni di spesa annuali.</w:t>
      </w:r>
    </w:p>
    <w:p w:rsidR="007E0A69" w:rsidRPr="008520FF" w:rsidRDefault="007E0A69" w:rsidP="00C22B70">
      <w:pPr>
        <w:spacing w:line="276" w:lineRule="auto"/>
        <w:jc w:val="both"/>
        <w:rPr>
          <w:rFonts w:ascii="Calibri" w:hAnsi="Calibri"/>
          <w:b/>
          <w:sz w:val="22"/>
        </w:rPr>
      </w:pPr>
    </w:p>
    <w:p w:rsidR="007E0A69" w:rsidRPr="008520FF" w:rsidRDefault="007E0A69" w:rsidP="00C22B70">
      <w:pPr>
        <w:spacing w:line="276" w:lineRule="auto"/>
        <w:ind w:left="284"/>
        <w:jc w:val="both"/>
        <w:rPr>
          <w:rFonts w:ascii="Calibri" w:hAnsi="Calibri"/>
          <w:b/>
          <w:sz w:val="22"/>
        </w:rPr>
      </w:pPr>
      <w:r w:rsidRPr="008520FF">
        <w:rPr>
          <w:rFonts w:ascii="Calibri" w:hAnsi="Calibri"/>
          <w:b/>
          <w:sz w:val="22"/>
        </w:rPr>
        <w:t>Definizione degli standard e misurazione del livello di raggiungimento dei risulta</w:t>
      </w:r>
      <w:r>
        <w:rPr>
          <w:rFonts w:ascii="Calibri" w:hAnsi="Calibri"/>
          <w:b/>
          <w:sz w:val="22"/>
        </w:rPr>
        <w:t>t</w:t>
      </w:r>
      <w:r w:rsidRPr="008520FF">
        <w:rPr>
          <w:rFonts w:ascii="Calibri" w:hAnsi="Calibri"/>
          <w:b/>
          <w:sz w:val="22"/>
        </w:rPr>
        <w:t>i attesi</w:t>
      </w:r>
    </w:p>
    <w:p w:rsidR="007E0A69" w:rsidRPr="008520FF" w:rsidRDefault="007E0A69" w:rsidP="00D504D8">
      <w:pPr>
        <w:tabs>
          <w:tab w:val="left" w:pos="993"/>
        </w:tabs>
        <w:spacing w:line="276" w:lineRule="auto"/>
        <w:ind w:left="284" w:right="565"/>
        <w:jc w:val="both"/>
        <w:rPr>
          <w:rFonts w:ascii="Calibri" w:hAnsi="Calibri" w:cs="Tahoma"/>
          <w:sz w:val="22"/>
          <w:szCs w:val="22"/>
        </w:rPr>
      </w:pPr>
      <w:r w:rsidRPr="008520FF">
        <w:rPr>
          <w:rFonts w:ascii="Calibri" w:hAnsi="Calibri" w:cs="Tahoma"/>
          <w:sz w:val="22"/>
          <w:szCs w:val="22"/>
        </w:rPr>
        <w:t>La fase di verifica del raggiungimento degli obiettivi inizia a seguito delle operazioni di chiusura del Bilancio aziendale, della conseguente estrazione ed elaborazione dei dati di contabilità analitica e del consolidamento dei flussi ministeriali di attività nonché della lettura ottica delle prescrizioni farmaceutiche. Da questi elementi sono elaborati i report di consuntivo dell’anno precedente in termini di costi affiancando ai dati di consuntivo quanto negoziato a budget per lo stesso anno. La valutazione della percentuale di raggiungimento degli obiettivi economici si realizza tramite l’applicazione della regola matematica di scarto rispetto al risultato atteso (es. uno sforamento dell’obiettivo del 5% comporta una valutazione di raggiungimento del 95% dell’obiettivo economico).</w:t>
      </w:r>
    </w:p>
    <w:p w:rsidR="007E0A69" w:rsidRPr="008520FF" w:rsidRDefault="007E0A69" w:rsidP="00D504D8">
      <w:pPr>
        <w:tabs>
          <w:tab w:val="left" w:pos="993"/>
        </w:tabs>
        <w:spacing w:line="276" w:lineRule="auto"/>
        <w:ind w:left="284" w:right="565"/>
        <w:jc w:val="both"/>
        <w:rPr>
          <w:rFonts w:ascii="Calibri" w:hAnsi="Calibri" w:cs="Tahoma"/>
        </w:rPr>
      </w:pPr>
    </w:p>
    <w:p w:rsidR="007E0A69" w:rsidRPr="008520FF" w:rsidRDefault="007E0A69" w:rsidP="00883DB8">
      <w:pPr>
        <w:shd w:val="clear" w:color="auto" w:fill="FFFFFF"/>
        <w:tabs>
          <w:tab w:val="left" w:pos="993"/>
        </w:tabs>
        <w:spacing w:line="276" w:lineRule="auto"/>
        <w:ind w:left="284" w:right="565"/>
        <w:jc w:val="both"/>
        <w:rPr>
          <w:rFonts w:ascii="Calibri" w:hAnsi="Calibri" w:cs="Tahoma"/>
        </w:rPr>
      </w:pPr>
      <w:r w:rsidRPr="008520FF">
        <w:rPr>
          <w:rFonts w:ascii="Calibri" w:hAnsi="Calibri" w:cs="Tahoma"/>
        </w:rPr>
        <w:t xml:space="preserve">Nelle schede di budget economico delle strutture ospedaliere e territoriali destinatarie di specifiche azioni di appropriatezza farmaceutica si procederà, parallelamente alla valutazione della tabella contenente il volume economico complessivo di risorse negoziate, alla valutazione aggiuntiva ed eventualmente correttiva/integrativa delle azioni di appropriatezza farmaceutica inserite nella scheda. Per ciascuno di questi obiettivi/azioni la SOC Governance farmaceutica e Appropriatezza prescrittiva ha a disposizione </w:t>
      </w:r>
      <w:r w:rsidRPr="008520FF">
        <w:rPr>
          <w:rFonts w:ascii="Calibri" w:hAnsi="Calibri" w:cs="Tahoma"/>
          <w:b/>
        </w:rPr>
        <w:t>un punto percentuale</w:t>
      </w:r>
      <w:r w:rsidRPr="008520FF">
        <w:rPr>
          <w:rFonts w:ascii="Calibri" w:hAnsi="Calibri" w:cs="Tahoma"/>
        </w:rPr>
        <w:t xml:space="preserve"> da aggiungere o decurtare dalla percentuale di valutazione calcolata secondo la regola matematica sopra descritta, a seconda del raggiungimento del risultato atteso connesso all’obiettivo.</w:t>
      </w:r>
    </w:p>
    <w:p w:rsidR="007E0A69" w:rsidRPr="008520FF" w:rsidRDefault="007E0A69" w:rsidP="00883DB8">
      <w:pPr>
        <w:shd w:val="clear" w:color="auto" w:fill="FFFFFF"/>
        <w:tabs>
          <w:tab w:val="left" w:pos="993"/>
        </w:tabs>
        <w:spacing w:line="276" w:lineRule="auto"/>
        <w:ind w:left="284" w:right="565"/>
        <w:jc w:val="both"/>
        <w:rPr>
          <w:rFonts w:ascii="Calibri" w:hAnsi="Calibri" w:cs="Tahoma"/>
        </w:rPr>
      </w:pPr>
      <w:r w:rsidRPr="008520FF">
        <w:rPr>
          <w:rFonts w:ascii="Calibri" w:hAnsi="Calibri" w:cs="Tahoma"/>
        </w:rPr>
        <w:t xml:space="preserve">Nel caso in cui il risultato raggiunto sia di sostanziale miglioramento rispetto al dato dell’anno precedente ma non sia stato raggiunto pienamente il risultato atteso si applica un parametro di </w:t>
      </w:r>
      <w:r w:rsidRPr="008520FF">
        <w:rPr>
          <w:rFonts w:ascii="Calibri" w:hAnsi="Calibri" w:cs="Tahoma"/>
        </w:rPr>
        <w:lastRenderedPageBreak/>
        <w:t>tolleranza del + o – 2% rispetto al risultato atteso, entro il quale l’azione-obiettivo si considera completamente raggiunta.</w:t>
      </w:r>
    </w:p>
    <w:p w:rsidR="007E0A69" w:rsidRPr="008520FF" w:rsidRDefault="007E0A69" w:rsidP="00883DB8">
      <w:pPr>
        <w:shd w:val="clear" w:color="auto" w:fill="FFFFFF"/>
        <w:tabs>
          <w:tab w:val="left" w:pos="993"/>
        </w:tabs>
        <w:spacing w:line="276" w:lineRule="auto"/>
        <w:ind w:left="284" w:right="565"/>
        <w:jc w:val="both"/>
        <w:rPr>
          <w:rFonts w:ascii="Calibri" w:hAnsi="Calibri" w:cs="Tahoma"/>
        </w:rPr>
      </w:pPr>
      <w:r w:rsidRPr="008520FF">
        <w:rPr>
          <w:rFonts w:ascii="Calibri" w:hAnsi="Calibri" w:cs="Tahoma"/>
        </w:rPr>
        <w:t xml:space="preserve">Non sono valutati i risultati di azioni di appropriatezza prescrittiva qualora il monitoraggio a livello di singola struttura interessi un numero ridotto o insufficiente di consumi (UP, pazienti trattati, </w:t>
      </w:r>
      <w:proofErr w:type="spellStart"/>
      <w:r w:rsidRPr="008520FF">
        <w:rPr>
          <w:rFonts w:ascii="Calibri" w:hAnsi="Calibri" w:cs="Tahoma"/>
        </w:rPr>
        <w:t>etc</w:t>
      </w:r>
      <w:proofErr w:type="spellEnd"/>
      <w:r w:rsidRPr="008520FF">
        <w:rPr>
          <w:rFonts w:ascii="Calibri" w:hAnsi="Calibri" w:cs="Tahoma"/>
        </w:rPr>
        <w:t>) o di spesa.</w:t>
      </w:r>
    </w:p>
    <w:p w:rsidR="007E0A69" w:rsidRPr="00DD2F31" w:rsidRDefault="007E0A69" w:rsidP="00DD2F31">
      <w:pPr>
        <w:shd w:val="clear" w:color="auto" w:fill="FFFFFF"/>
        <w:tabs>
          <w:tab w:val="left" w:pos="993"/>
        </w:tabs>
        <w:spacing w:line="276" w:lineRule="auto"/>
        <w:ind w:left="644" w:right="565"/>
        <w:jc w:val="both"/>
        <w:rPr>
          <w:rFonts w:ascii="Calibri" w:hAnsi="Calibri" w:cs="Tahoma"/>
        </w:rPr>
      </w:pPr>
    </w:p>
    <w:p w:rsidR="007E0A69" w:rsidRPr="00792A65" w:rsidRDefault="007E0A69" w:rsidP="00C22B70">
      <w:pPr>
        <w:tabs>
          <w:tab w:val="left" w:pos="993"/>
        </w:tabs>
        <w:ind w:left="284" w:right="565"/>
        <w:jc w:val="both"/>
        <w:rPr>
          <w:rFonts w:ascii="Calibri" w:hAnsi="Calibri" w:cs="Tahoma"/>
          <w:sz w:val="22"/>
          <w:szCs w:val="22"/>
        </w:rPr>
      </w:pPr>
      <w:r w:rsidRPr="00792A65">
        <w:rPr>
          <w:rFonts w:ascii="Calibri" w:hAnsi="Calibri" w:cs="Tahoma"/>
          <w:sz w:val="22"/>
          <w:szCs w:val="22"/>
        </w:rPr>
        <w:t>Infine, per la valutazione finale degli obiettivi economici e quantitativi, nell’attribuzione della percentuale di raggiungimento si tiene conto anche delle seguenti regole garantiste di valutazione:</w:t>
      </w:r>
    </w:p>
    <w:p w:rsidR="007E0A69" w:rsidRPr="00792A65" w:rsidRDefault="007E0A69" w:rsidP="00C22B70">
      <w:pPr>
        <w:tabs>
          <w:tab w:val="left" w:pos="993"/>
        </w:tabs>
        <w:ind w:left="284" w:right="565"/>
        <w:jc w:val="both"/>
        <w:rPr>
          <w:rFonts w:ascii="Calibri" w:hAnsi="Calibri" w:cs="Tahoma"/>
          <w:sz w:val="22"/>
          <w:szCs w:val="22"/>
        </w:rPr>
      </w:pPr>
    </w:p>
    <w:p w:rsidR="007E0A69" w:rsidRPr="00193A8E" w:rsidRDefault="007E0A69" w:rsidP="00C22B70">
      <w:pPr>
        <w:numPr>
          <w:ilvl w:val="0"/>
          <w:numId w:val="17"/>
        </w:numPr>
        <w:tabs>
          <w:tab w:val="left" w:pos="993"/>
        </w:tabs>
        <w:spacing w:line="276" w:lineRule="auto"/>
        <w:ind w:right="565"/>
        <w:jc w:val="both"/>
        <w:rPr>
          <w:rFonts w:ascii="Calibri" w:hAnsi="Calibri" w:cs="Tahoma"/>
          <w:sz w:val="22"/>
          <w:szCs w:val="22"/>
        </w:rPr>
      </w:pPr>
      <w:r w:rsidRPr="00193A8E">
        <w:rPr>
          <w:rFonts w:ascii="Calibri" w:hAnsi="Calibri" w:cs="Tahoma"/>
          <w:sz w:val="22"/>
          <w:szCs w:val="22"/>
        </w:rPr>
        <w:t>il pieno raggiungimento del risultato atteso o il raggiungimento di un risultato migliore rispetto all’obiettivo assegnato alle singole strutture, comporta l’attribuzione dell’intero punteggio disponibile (100%);</w:t>
      </w:r>
    </w:p>
    <w:p w:rsidR="007E0A69" w:rsidRPr="00B141C0" w:rsidRDefault="007E0A69" w:rsidP="00232D4D">
      <w:pPr>
        <w:numPr>
          <w:ilvl w:val="0"/>
          <w:numId w:val="17"/>
        </w:numPr>
        <w:tabs>
          <w:tab w:val="left" w:pos="993"/>
        </w:tabs>
        <w:spacing w:line="276" w:lineRule="auto"/>
        <w:ind w:right="565"/>
        <w:jc w:val="both"/>
        <w:rPr>
          <w:rFonts w:ascii="Calibri" w:hAnsi="Calibri" w:cs="Tahoma"/>
          <w:sz w:val="22"/>
          <w:szCs w:val="22"/>
        </w:rPr>
      </w:pPr>
      <w:r w:rsidRPr="00792A65">
        <w:rPr>
          <w:rFonts w:ascii="Calibri" w:hAnsi="Calibri" w:cs="Tahoma"/>
          <w:sz w:val="22"/>
          <w:szCs w:val="22"/>
        </w:rPr>
        <w:t>alle Strutture che presentano sforamento del budget assegnato viene attribuita la percentuale di scostamento della SOC o dell'Area di appartenenza, se lo sforamento della UO è maggiore di quello della struttura complessa o dell'Area gerarchicamente sovraordinata; nel caso invece sia inferiore, viene mantenuta la propria percentuale. Le percentuali vengono poi arrotondate per eccesso o difetto di 0,50.</w:t>
      </w:r>
      <w:r>
        <w:rPr>
          <w:rFonts w:ascii="Calibri" w:hAnsi="Calibri" w:cs="Tahoma"/>
          <w:sz w:val="22"/>
          <w:szCs w:val="22"/>
        </w:rPr>
        <w:t xml:space="preserve"> </w:t>
      </w:r>
      <w:r w:rsidRPr="00232D4D">
        <w:rPr>
          <w:rFonts w:ascii="Calibri" w:hAnsi="Calibri" w:cs="Tahoma"/>
        </w:rPr>
        <w:t>Tale impostazione è in linea con la natura e la finalità stessa dell’Area che rappresenta il livello ottimale di gestione delle risorse economiche, comprendendo strutture organizzative e specialità omogenee al suo interno, tali da giustificare l'eventuale ed auspicabile – in caso di necessità - trasferimento di risorse.</w:t>
      </w:r>
    </w:p>
    <w:p w:rsidR="007E0A69" w:rsidRPr="00232D4D" w:rsidRDefault="007E0A69" w:rsidP="00B141C0">
      <w:pPr>
        <w:tabs>
          <w:tab w:val="left" w:pos="993"/>
        </w:tabs>
        <w:spacing w:line="276" w:lineRule="auto"/>
        <w:ind w:left="720" w:right="565"/>
        <w:jc w:val="both"/>
        <w:rPr>
          <w:rFonts w:ascii="Calibri" w:hAnsi="Calibri" w:cs="Tahoma"/>
          <w:sz w:val="22"/>
          <w:szCs w:val="22"/>
        </w:rPr>
      </w:pPr>
    </w:p>
    <w:p w:rsidR="008E1F4E" w:rsidRPr="00193A8E" w:rsidRDefault="008E1F4E" w:rsidP="006A34E4">
      <w:pPr>
        <w:tabs>
          <w:tab w:val="left" w:pos="993"/>
        </w:tabs>
        <w:spacing w:line="276" w:lineRule="auto"/>
        <w:ind w:left="284" w:right="565"/>
        <w:jc w:val="both"/>
        <w:rPr>
          <w:rFonts w:ascii="Calibri" w:hAnsi="Calibri" w:cs="Tahoma"/>
          <w:sz w:val="22"/>
          <w:szCs w:val="22"/>
        </w:rPr>
      </w:pPr>
    </w:p>
    <w:p w:rsidR="007E0A69" w:rsidRPr="0002470D" w:rsidRDefault="007E0A69" w:rsidP="00940497">
      <w:pPr>
        <w:pStyle w:val="Corpodeltesto2"/>
        <w:ind w:left="284" w:right="565"/>
        <w:outlineLvl w:val="1"/>
        <w:rPr>
          <w:rFonts w:ascii="Calibri" w:hAnsi="Calibri" w:cs="Tahoma"/>
          <w:b/>
          <w:sz w:val="22"/>
          <w:szCs w:val="22"/>
        </w:rPr>
      </w:pPr>
      <w:bookmarkStart w:id="15" w:name="_Toc70934371"/>
      <w:bookmarkStart w:id="16" w:name="_Toc72510518"/>
      <w:r w:rsidRPr="0002470D">
        <w:rPr>
          <w:rFonts w:ascii="Calibri" w:hAnsi="Calibri" w:cs="Tahoma"/>
          <w:b/>
          <w:sz w:val="22"/>
          <w:szCs w:val="22"/>
        </w:rPr>
        <w:t xml:space="preserve">7.2 OBIETTIVI </w:t>
      </w:r>
      <w:r>
        <w:rPr>
          <w:rFonts w:ascii="Calibri" w:hAnsi="Calibri"/>
          <w:b/>
          <w:sz w:val="22"/>
          <w:szCs w:val="22"/>
        </w:rPr>
        <w:t>DI</w:t>
      </w:r>
      <w:r w:rsidRPr="0002470D">
        <w:rPr>
          <w:rFonts w:ascii="Calibri" w:hAnsi="Calibri" w:cs="Tahoma"/>
          <w:b/>
          <w:sz w:val="22"/>
          <w:szCs w:val="22"/>
        </w:rPr>
        <w:t xml:space="preserve"> ATTIVITA’ - SCHEDA B</w:t>
      </w:r>
      <w:bookmarkEnd w:id="15"/>
      <w:bookmarkEnd w:id="16"/>
      <w:r w:rsidRPr="0002470D">
        <w:rPr>
          <w:rFonts w:ascii="Calibri" w:hAnsi="Calibri" w:cs="Tahoma"/>
          <w:b/>
          <w:sz w:val="22"/>
          <w:szCs w:val="22"/>
        </w:rPr>
        <w:t xml:space="preserve"> </w:t>
      </w:r>
    </w:p>
    <w:p w:rsidR="007E0A69" w:rsidRPr="00792A65" w:rsidRDefault="007E0A69" w:rsidP="00940497">
      <w:pPr>
        <w:pStyle w:val="Corpodeltesto2"/>
        <w:ind w:left="284" w:right="565"/>
        <w:rPr>
          <w:rFonts w:ascii="Calibri" w:hAnsi="Calibri" w:cs="Tahoma"/>
          <w:sz w:val="22"/>
          <w:szCs w:val="22"/>
        </w:rPr>
      </w:pPr>
    </w:p>
    <w:p w:rsidR="007E0A69" w:rsidRPr="0089452B" w:rsidRDefault="007E0A69" w:rsidP="00940497">
      <w:pPr>
        <w:pStyle w:val="Corpodeltesto2"/>
        <w:spacing w:line="276" w:lineRule="auto"/>
        <w:ind w:left="284" w:right="565"/>
        <w:rPr>
          <w:rFonts w:ascii="Calibri" w:hAnsi="Calibri" w:cs="Tahoma"/>
          <w:sz w:val="22"/>
          <w:szCs w:val="22"/>
        </w:rPr>
      </w:pPr>
      <w:r w:rsidRPr="00792A65">
        <w:rPr>
          <w:rFonts w:ascii="Calibri" w:hAnsi="Calibri" w:cs="Tahoma"/>
          <w:sz w:val="22"/>
          <w:szCs w:val="22"/>
        </w:rPr>
        <w:t xml:space="preserve">La scheda B </w:t>
      </w:r>
      <w:r>
        <w:rPr>
          <w:rFonts w:ascii="Calibri" w:hAnsi="Calibri" w:cs="Tahoma"/>
          <w:sz w:val="22"/>
          <w:szCs w:val="22"/>
        </w:rPr>
        <w:t>è</w:t>
      </w:r>
      <w:r w:rsidRPr="00792A65">
        <w:rPr>
          <w:rFonts w:ascii="Calibri" w:hAnsi="Calibri" w:cs="Tahoma"/>
          <w:sz w:val="22"/>
          <w:szCs w:val="22"/>
        </w:rPr>
        <w:t xml:space="preserve"> utilizzata per la valutazione dell’attività sanitaria, professionale o gestionale, orientata quindi alla qualità, alla sicurezza, alle nuove modalità di erogazione dei servizi e dei processi di cura alle attività e ai progetti.</w:t>
      </w:r>
      <w:r>
        <w:rPr>
          <w:rFonts w:ascii="Calibri" w:hAnsi="Calibri" w:cs="Tahoma"/>
          <w:sz w:val="22"/>
          <w:szCs w:val="22"/>
        </w:rPr>
        <w:t xml:space="preserve"> </w:t>
      </w:r>
      <w:r w:rsidRPr="00792A65">
        <w:rPr>
          <w:rFonts w:ascii="Calibri" w:hAnsi="Calibri" w:cs="Tahoma"/>
          <w:sz w:val="22"/>
          <w:szCs w:val="22"/>
        </w:rPr>
        <w:t xml:space="preserve">Gli obiettivi possono </w:t>
      </w:r>
      <w:r>
        <w:rPr>
          <w:rFonts w:ascii="Calibri" w:hAnsi="Calibri" w:cs="Tahoma"/>
          <w:sz w:val="22"/>
          <w:szCs w:val="22"/>
        </w:rPr>
        <w:t xml:space="preserve">avere differente natura: </w:t>
      </w:r>
      <w:r w:rsidRPr="00BD387E">
        <w:rPr>
          <w:rFonts w:ascii="Calibri" w:hAnsi="Calibri" w:cs="Calibri"/>
          <w:color w:val="000000"/>
          <w:sz w:val="22"/>
          <w:szCs w:val="22"/>
        </w:rPr>
        <w:t>quantitativo</w:t>
      </w:r>
      <w:r>
        <w:rPr>
          <w:rFonts w:ascii="Calibri" w:hAnsi="Calibri" w:cs="Calibri"/>
          <w:color w:val="000000"/>
          <w:sz w:val="22"/>
          <w:szCs w:val="22"/>
        </w:rPr>
        <w:t xml:space="preserve"> e </w:t>
      </w:r>
      <w:r w:rsidRPr="00BD387E">
        <w:rPr>
          <w:rFonts w:ascii="Calibri" w:hAnsi="Calibri" w:cs="Calibri"/>
          <w:color w:val="000000"/>
          <w:sz w:val="22"/>
          <w:szCs w:val="22"/>
        </w:rPr>
        <w:t>qualitativo/ documentale</w:t>
      </w:r>
      <w:r>
        <w:rPr>
          <w:rFonts w:ascii="Calibri" w:hAnsi="Calibri" w:cs="Calibri"/>
          <w:color w:val="000000"/>
          <w:sz w:val="22"/>
          <w:szCs w:val="22"/>
        </w:rPr>
        <w:t>.</w:t>
      </w:r>
      <w:r w:rsidRPr="00BD387E">
        <w:rPr>
          <w:rFonts w:ascii="Calibri" w:hAnsi="Calibri" w:cs="Calibri"/>
          <w:color w:val="000000"/>
          <w:sz w:val="22"/>
          <w:szCs w:val="22"/>
        </w:rPr>
        <w:t xml:space="preserve"> </w:t>
      </w:r>
      <w:r w:rsidRPr="00BD387E">
        <w:rPr>
          <w:rFonts w:ascii="Calibri" w:hAnsi="Calibri" w:cs="Tahoma"/>
          <w:sz w:val="22"/>
          <w:szCs w:val="22"/>
        </w:rPr>
        <w:t>Gli obiettivi quantitativi sono verificabili attraverso u</w:t>
      </w:r>
      <w:r>
        <w:rPr>
          <w:rFonts w:ascii="Calibri" w:hAnsi="Calibri" w:cs="Tahoma"/>
          <w:sz w:val="22"/>
          <w:szCs w:val="22"/>
        </w:rPr>
        <w:t xml:space="preserve">na serie di indicatori numerici, </w:t>
      </w:r>
      <w:r w:rsidRPr="00792A65">
        <w:rPr>
          <w:rFonts w:ascii="Calibri" w:hAnsi="Calibri" w:cs="Tahoma"/>
          <w:sz w:val="22"/>
          <w:szCs w:val="22"/>
        </w:rPr>
        <w:t>si riferiscono a volumi di attività di attività e sono espressi da indicatori numeric</w:t>
      </w:r>
      <w:r>
        <w:rPr>
          <w:rFonts w:ascii="Calibri" w:hAnsi="Calibri" w:cs="Tahoma"/>
          <w:sz w:val="22"/>
          <w:szCs w:val="22"/>
        </w:rPr>
        <w:t>i. Gli</w:t>
      </w:r>
      <w:r w:rsidRPr="00BD387E">
        <w:rPr>
          <w:rFonts w:ascii="Calibri" w:hAnsi="Calibri" w:cs="Tahoma"/>
          <w:sz w:val="22"/>
          <w:szCs w:val="22"/>
        </w:rPr>
        <w:t xml:space="preserve"> obiettivi di natura qualitativa/documentale sono verificati con certificaz</w:t>
      </w:r>
      <w:r>
        <w:rPr>
          <w:rFonts w:ascii="Calibri" w:hAnsi="Calibri" w:cs="Tahoma"/>
          <w:sz w:val="22"/>
          <w:szCs w:val="22"/>
        </w:rPr>
        <w:t xml:space="preserve">ione dei direttori di struttura. </w:t>
      </w:r>
      <w:r w:rsidRPr="00792A65">
        <w:rPr>
          <w:rFonts w:ascii="Calibri" w:hAnsi="Calibri" w:cs="Tahoma"/>
          <w:sz w:val="22"/>
          <w:szCs w:val="22"/>
        </w:rPr>
        <w:t xml:space="preserve">Gli obiettivi </w:t>
      </w:r>
      <w:r>
        <w:rPr>
          <w:rFonts w:ascii="Calibri" w:hAnsi="Calibri" w:cs="Tahoma"/>
          <w:sz w:val="22"/>
          <w:szCs w:val="22"/>
        </w:rPr>
        <w:t>traggono origine da</w:t>
      </w:r>
      <w:r w:rsidRPr="00792A65">
        <w:rPr>
          <w:rFonts w:ascii="Calibri" w:hAnsi="Calibri" w:cs="Tahoma"/>
          <w:sz w:val="22"/>
          <w:szCs w:val="22"/>
        </w:rPr>
        <w:t xml:space="preserve"> documenti d’indirizzo e programmazione regionale e nazionale</w:t>
      </w:r>
      <w:r>
        <w:rPr>
          <w:rFonts w:ascii="Calibri" w:hAnsi="Calibri" w:cs="Tahoma"/>
          <w:sz w:val="22"/>
          <w:szCs w:val="22"/>
        </w:rPr>
        <w:t>. C</w:t>
      </w:r>
      <w:r w:rsidRPr="00792A65">
        <w:rPr>
          <w:rFonts w:ascii="Calibri" w:hAnsi="Calibri" w:cs="Tahoma"/>
          <w:sz w:val="22"/>
          <w:szCs w:val="22"/>
        </w:rPr>
        <w:t xml:space="preserve">omprendono anche elementi di gestione del </w:t>
      </w:r>
      <w:r>
        <w:rPr>
          <w:rFonts w:ascii="Calibri" w:hAnsi="Calibri" w:cs="Tahoma"/>
          <w:sz w:val="22"/>
          <w:szCs w:val="22"/>
        </w:rPr>
        <w:t>personale</w:t>
      </w:r>
      <w:r w:rsidRPr="00792A65">
        <w:rPr>
          <w:rFonts w:ascii="Calibri" w:hAnsi="Calibri" w:cs="Tahoma"/>
          <w:sz w:val="22"/>
          <w:szCs w:val="22"/>
        </w:rPr>
        <w:t xml:space="preserve"> attraverso l</w:t>
      </w:r>
      <w:r>
        <w:rPr>
          <w:rFonts w:ascii="Calibri" w:hAnsi="Calibri" w:cs="Tahoma"/>
          <w:sz w:val="22"/>
          <w:szCs w:val="22"/>
        </w:rPr>
        <w:t>e</w:t>
      </w:r>
      <w:r w:rsidRPr="00792A65">
        <w:rPr>
          <w:rFonts w:ascii="Calibri" w:hAnsi="Calibri" w:cs="Tahoma"/>
          <w:sz w:val="22"/>
          <w:szCs w:val="22"/>
        </w:rPr>
        <w:t xml:space="preserve"> </w:t>
      </w:r>
      <w:r>
        <w:rPr>
          <w:rFonts w:ascii="Calibri" w:hAnsi="Calibri" w:cs="Tahoma"/>
          <w:sz w:val="22"/>
          <w:szCs w:val="22"/>
        </w:rPr>
        <w:t xml:space="preserve">strategie di </w:t>
      </w:r>
      <w:r w:rsidRPr="00792A65">
        <w:rPr>
          <w:rFonts w:ascii="Calibri" w:hAnsi="Calibri" w:cs="Tahoma"/>
          <w:sz w:val="22"/>
          <w:szCs w:val="22"/>
        </w:rPr>
        <w:t>sviluppo professionale</w:t>
      </w:r>
      <w:r>
        <w:rPr>
          <w:rFonts w:ascii="Calibri" w:hAnsi="Calibri" w:cs="Tahoma"/>
          <w:sz w:val="22"/>
          <w:szCs w:val="22"/>
        </w:rPr>
        <w:t xml:space="preserve"> e dei dirigenti afferenti alla struttura. </w:t>
      </w:r>
      <w:r>
        <w:rPr>
          <w:rFonts w:ascii="Calibri" w:hAnsi="Calibri" w:cs="Calibri"/>
          <w:color w:val="000000"/>
          <w:sz w:val="22"/>
          <w:szCs w:val="22"/>
        </w:rPr>
        <w:t>G</w:t>
      </w:r>
      <w:r w:rsidRPr="0089452B">
        <w:rPr>
          <w:rFonts w:ascii="Calibri" w:hAnsi="Calibri" w:cs="Calibri"/>
          <w:color w:val="000000"/>
          <w:sz w:val="22"/>
          <w:szCs w:val="22"/>
        </w:rPr>
        <w:t xml:space="preserve">li obiettivi </w:t>
      </w:r>
      <w:r>
        <w:rPr>
          <w:rFonts w:ascii="Calibri" w:hAnsi="Calibri" w:cs="Calibri"/>
          <w:color w:val="000000"/>
          <w:sz w:val="22"/>
          <w:szCs w:val="22"/>
        </w:rPr>
        <w:t>utilizzano i sistemi si articolano attraverso l’integrazione dei</w:t>
      </w:r>
      <w:r w:rsidRPr="0089452B">
        <w:rPr>
          <w:rFonts w:ascii="Calibri" w:hAnsi="Calibri" w:cs="Calibri"/>
          <w:color w:val="000000"/>
          <w:sz w:val="22"/>
          <w:szCs w:val="22"/>
        </w:rPr>
        <w:t xml:space="preserve"> piani di consolidamento e sviluppo aziendale, </w:t>
      </w:r>
      <w:r>
        <w:rPr>
          <w:rFonts w:ascii="Calibri" w:hAnsi="Calibri" w:cs="Calibri"/>
          <w:color w:val="000000"/>
          <w:sz w:val="22"/>
          <w:szCs w:val="22"/>
        </w:rPr>
        <w:t>e come già citato attraverso la normativa cogente che per i prossimi anni sarà alla base del</w:t>
      </w:r>
      <w:r w:rsidRPr="0089452B">
        <w:rPr>
          <w:rFonts w:ascii="Calibri" w:hAnsi="Calibri" w:cs="Calibri"/>
          <w:color w:val="000000"/>
          <w:sz w:val="22"/>
          <w:szCs w:val="22"/>
        </w:rPr>
        <w:t>la programmazione annuale</w:t>
      </w:r>
      <w:r>
        <w:rPr>
          <w:rFonts w:ascii="Calibri" w:hAnsi="Calibri" w:cs="Calibri"/>
          <w:color w:val="000000"/>
          <w:sz w:val="22"/>
          <w:szCs w:val="22"/>
        </w:rPr>
        <w:t xml:space="preserve">. Nelle more della realizzazione del piano attuativo locale, trae spunto direttamente dalla pianificazione regionale PISSR, dal </w:t>
      </w:r>
      <w:r w:rsidRPr="0089452B">
        <w:rPr>
          <w:rFonts w:ascii="Calibri" w:hAnsi="Calibri" w:cs="Calibri"/>
          <w:color w:val="000000"/>
          <w:sz w:val="22"/>
          <w:szCs w:val="22"/>
        </w:rPr>
        <w:t>Nuovo Sistema di Garanzia,</w:t>
      </w:r>
      <w:r>
        <w:rPr>
          <w:rFonts w:ascii="Calibri" w:hAnsi="Calibri" w:cs="Calibri"/>
          <w:color w:val="000000"/>
          <w:sz w:val="22"/>
          <w:szCs w:val="22"/>
        </w:rPr>
        <w:t xml:space="preserve"> dai</w:t>
      </w:r>
      <w:r w:rsidRPr="0089452B">
        <w:rPr>
          <w:rFonts w:ascii="Calibri" w:hAnsi="Calibri" w:cs="Calibri"/>
          <w:color w:val="000000"/>
          <w:sz w:val="22"/>
          <w:szCs w:val="22"/>
        </w:rPr>
        <w:t xml:space="preserve"> </w:t>
      </w:r>
      <w:r>
        <w:rPr>
          <w:rFonts w:ascii="Calibri" w:hAnsi="Calibri" w:cs="Calibri"/>
          <w:color w:val="000000"/>
          <w:sz w:val="22"/>
          <w:szCs w:val="22"/>
        </w:rPr>
        <w:t>livelli essenziali di assistenza (Nuova griglia</w:t>
      </w:r>
      <w:r w:rsidRPr="0089452B">
        <w:rPr>
          <w:rFonts w:ascii="Calibri" w:hAnsi="Calibri" w:cs="Calibri"/>
          <w:color w:val="000000"/>
          <w:sz w:val="22"/>
          <w:szCs w:val="22"/>
        </w:rPr>
        <w:t xml:space="preserve"> LEA</w:t>
      </w:r>
      <w:r>
        <w:rPr>
          <w:rFonts w:ascii="Calibri" w:hAnsi="Calibri" w:cs="Calibri"/>
          <w:color w:val="000000"/>
          <w:sz w:val="22"/>
          <w:szCs w:val="22"/>
        </w:rPr>
        <w:t>), dal s</w:t>
      </w:r>
      <w:r w:rsidRPr="0089452B">
        <w:rPr>
          <w:rFonts w:ascii="Calibri" w:hAnsi="Calibri" w:cs="Calibri"/>
          <w:color w:val="000000"/>
          <w:sz w:val="22"/>
          <w:szCs w:val="22"/>
        </w:rPr>
        <w:t>istema di valutazione della performance</w:t>
      </w:r>
      <w:r>
        <w:rPr>
          <w:rFonts w:ascii="Calibri" w:hAnsi="Calibri" w:cs="Calibri"/>
          <w:color w:val="000000"/>
          <w:sz w:val="22"/>
          <w:szCs w:val="22"/>
        </w:rPr>
        <w:t xml:space="preserve"> del Sistema Sanitario Regionale realizzato del laboratorio MES, della Scuola Superiore S. Anna di Pisa. </w:t>
      </w:r>
      <w:r>
        <w:rPr>
          <w:rFonts w:ascii="Calibri" w:hAnsi="Calibri" w:cs="Calibri"/>
          <w:sz w:val="22"/>
          <w:szCs w:val="22"/>
        </w:rPr>
        <w:t xml:space="preserve"> Altri obiettivi sono mediati dal Piano regionale per l’osservazione degli esiti </w:t>
      </w:r>
      <w:r w:rsidRPr="0089452B">
        <w:rPr>
          <w:rFonts w:ascii="Calibri" w:hAnsi="Calibri" w:cs="Calibri"/>
          <w:color w:val="000000"/>
          <w:sz w:val="22"/>
          <w:szCs w:val="22"/>
        </w:rPr>
        <w:t>PROSE</w:t>
      </w:r>
      <w:r>
        <w:rPr>
          <w:rFonts w:ascii="Calibri" w:hAnsi="Calibri" w:cs="Calibri"/>
          <w:sz w:val="22"/>
          <w:szCs w:val="22"/>
        </w:rPr>
        <w:t xml:space="preserve"> dell’agenzia regionale di sanità Toscana</w:t>
      </w:r>
      <w:r w:rsidRPr="0089452B">
        <w:rPr>
          <w:rFonts w:ascii="Calibri" w:hAnsi="Calibri" w:cs="Calibri"/>
          <w:color w:val="000000"/>
          <w:sz w:val="22"/>
          <w:szCs w:val="22"/>
        </w:rPr>
        <w:t>, per presidiare l’efficacia delle cure at</w:t>
      </w:r>
      <w:r>
        <w:rPr>
          <w:rFonts w:ascii="Calibri" w:hAnsi="Calibri" w:cs="Calibri"/>
          <w:sz w:val="22"/>
          <w:szCs w:val="22"/>
        </w:rPr>
        <w:t>traverso la misura degli esiti. Infine gli obiettivi di e</w:t>
      </w:r>
      <w:r w:rsidRPr="0089452B">
        <w:rPr>
          <w:rFonts w:ascii="Calibri" w:hAnsi="Calibri" w:cs="Calibri"/>
          <w:color w:val="000000"/>
          <w:sz w:val="22"/>
          <w:szCs w:val="22"/>
        </w:rPr>
        <w:t xml:space="preserve">fficienza del sistema </w:t>
      </w:r>
      <w:r>
        <w:rPr>
          <w:rFonts w:ascii="Calibri" w:hAnsi="Calibri" w:cs="Calibri"/>
          <w:color w:val="000000"/>
          <w:sz w:val="22"/>
          <w:szCs w:val="22"/>
        </w:rPr>
        <w:t>derivano dall</w:t>
      </w:r>
      <w:r w:rsidRPr="0089452B">
        <w:rPr>
          <w:rFonts w:ascii="Calibri" w:hAnsi="Calibri" w:cs="Calibri"/>
          <w:color w:val="000000"/>
          <w:sz w:val="22"/>
          <w:szCs w:val="22"/>
        </w:rPr>
        <w:t>o sviluppo della Gestione Operativa per la messa a flusso del percorso chirurgico, del percorso ambulatoriale e del percorso per il ricovero urgente o in elezione</w:t>
      </w:r>
      <w:r>
        <w:rPr>
          <w:rFonts w:ascii="Calibri" w:hAnsi="Calibri" w:cs="Calibri"/>
          <w:color w:val="000000"/>
          <w:sz w:val="22"/>
          <w:szCs w:val="22"/>
        </w:rPr>
        <w:t>.</w:t>
      </w:r>
    </w:p>
    <w:p w:rsidR="007E0A69" w:rsidRPr="003842D3" w:rsidRDefault="007E0A69" w:rsidP="00940497">
      <w:pPr>
        <w:autoSpaceDE w:val="0"/>
        <w:autoSpaceDN w:val="0"/>
        <w:adjustRightInd w:val="0"/>
        <w:spacing w:line="276" w:lineRule="auto"/>
        <w:ind w:left="284"/>
        <w:jc w:val="both"/>
        <w:rPr>
          <w:rFonts w:ascii="Calibri" w:hAnsi="Calibri" w:cs="Calibri"/>
          <w:sz w:val="22"/>
          <w:szCs w:val="22"/>
        </w:rPr>
      </w:pPr>
      <w:r w:rsidRPr="003842D3">
        <w:rPr>
          <w:rFonts w:ascii="Calibri" w:hAnsi="Calibri" w:cs="Calibri"/>
          <w:sz w:val="22"/>
          <w:szCs w:val="22"/>
        </w:rPr>
        <w:t>Il sistema di pianificazione annuale dell’</w:t>
      </w:r>
      <w:r>
        <w:rPr>
          <w:rFonts w:ascii="Calibri" w:hAnsi="Calibri" w:cs="Calibri"/>
          <w:sz w:val="22"/>
          <w:szCs w:val="22"/>
        </w:rPr>
        <w:t>A</w:t>
      </w:r>
      <w:r w:rsidRPr="003842D3">
        <w:rPr>
          <w:rFonts w:ascii="Calibri" w:hAnsi="Calibri" w:cs="Calibri"/>
          <w:sz w:val="22"/>
          <w:szCs w:val="22"/>
        </w:rPr>
        <w:t>zienda</w:t>
      </w:r>
      <w:r>
        <w:rPr>
          <w:rFonts w:ascii="Calibri" w:hAnsi="Calibri" w:cs="Calibri"/>
          <w:sz w:val="22"/>
          <w:szCs w:val="22"/>
        </w:rPr>
        <w:t xml:space="preserve">, anche Budget, </w:t>
      </w:r>
      <w:r w:rsidRPr="003842D3">
        <w:rPr>
          <w:rFonts w:ascii="Calibri" w:hAnsi="Calibri" w:cs="Calibri"/>
          <w:sz w:val="22"/>
          <w:szCs w:val="22"/>
        </w:rPr>
        <w:t>si basa su una serie di obiettivi</w:t>
      </w:r>
      <w:r>
        <w:rPr>
          <w:rFonts w:ascii="Calibri" w:hAnsi="Calibri" w:cs="Calibri"/>
          <w:sz w:val="22"/>
          <w:szCs w:val="22"/>
        </w:rPr>
        <w:t>:</w:t>
      </w:r>
    </w:p>
    <w:p w:rsidR="007E0A69" w:rsidRPr="00A925D7" w:rsidRDefault="007E0A69" w:rsidP="00364A12">
      <w:pPr>
        <w:pStyle w:val="Paragrafoelenco"/>
        <w:numPr>
          <w:ilvl w:val="0"/>
          <w:numId w:val="14"/>
        </w:numPr>
        <w:suppressAutoHyphens w:val="0"/>
        <w:autoSpaceDE w:val="0"/>
        <w:autoSpaceDN w:val="0"/>
        <w:adjustRightInd w:val="0"/>
        <w:spacing w:after="0" w:line="276" w:lineRule="auto"/>
        <w:ind w:right="484"/>
        <w:contextualSpacing w:val="0"/>
        <w:jc w:val="both"/>
        <w:rPr>
          <w:rFonts w:cs="Calibri"/>
          <w:lang w:eastAsia="it-IT"/>
        </w:rPr>
      </w:pPr>
      <w:r w:rsidRPr="00A925D7">
        <w:rPr>
          <w:rFonts w:cs="Calibri"/>
          <w:b/>
          <w:lang w:eastAsia="it-IT"/>
        </w:rPr>
        <w:t xml:space="preserve">Obiettivi </w:t>
      </w:r>
      <w:r w:rsidRPr="0002470D">
        <w:rPr>
          <w:rFonts w:cs="Calibri"/>
          <w:b/>
          <w:lang w:eastAsia="it-IT"/>
        </w:rPr>
        <w:t>aziendali</w:t>
      </w:r>
      <w:r>
        <w:rPr>
          <w:rFonts w:cs="Calibri"/>
          <w:b/>
          <w:lang w:eastAsia="it-IT"/>
        </w:rPr>
        <w:t>,</w:t>
      </w:r>
      <w:r>
        <w:rPr>
          <w:rFonts w:cs="Calibri"/>
          <w:lang w:eastAsia="it-IT"/>
        </w:rPr>
        <w:t xml:space="preserve"> </w:t>
      </w:r>
      <w:r w:rsidRPr="00A925D7">
        <w:rPr>
          <w:rFonts w:cs="Calibri"/>
          <w:lang w:eastAsia="it-IT"/>
        </w:rPr>
        <w:t>attribu</w:t>
      </w:r>
      <w:r>
        <w:rPr>
          <w:rFonts w:cs="Calibri"/>
          <w:lang w:eastAsia="it-IT"/>
        </w:rPr>
        <w:t>i</w:t>
      </w:r>
      <w:r w:rsidRPr="00A925D7">
        <w:rPr>
          <w:rFonts w:cs="Calibri"/>
          <w:lang w:eastAsia="it-IT"/>
        </w:rPr>
        <w:t>ti con delibera</w:t>
      </w:r>
      <w:r>
        <w:rPr>
          <w:rFonts w:cs="Calibri"/>
          <w:lang w:eastAsia="it-IT"/>
        </w:rPr>
        <w:t xml:space="preserve"> </w:t>
      </w:r>
      <w:r w:rsidRPr="00A925D7">
        <w:rPr>
          <w:rFonts w:cs="Calibri"/>
          <w:lang w:eastAsia="it-IT"/>
        </w:rPr>
        <w:t>regionale</w:t>
      </w:r>
      <w:r>
        <w:rPr>
          <w:rFonts w:cs="Calibri"/>
          <w:lang w:eastAsia="it-IT"/>
        </w:rPr>
        <w:t>,</w:t>
      </w:r>
      <w:r w:rsidRPr="00A925D7">
        <w:rPr>
          <w:rFonts w:cs="Calibri"/>
          <w:lang w:eastAsia="it-IT"/>
        </w:rPr>
        <w:t xml:space="preserve"> e che</w:t>
      </w:r>
      <w:r>
        <w:rPr>
          <w:rFonts w:cs="Calibri"/>
          <w:lang w:eastAsia="it-IT"/>
        </w:rPr>
        <w:t xml:space="preserve"> </w:t>
      </w:r>
      <w:r w:rsidRPr="00A925D7">
        <w:rPr>
          <w:rFonts w:cs="Calibri"/>
          <w:lang w:eastAsia="it-IT"/>
        </w:rPr>
        <w:t>costituiscono</w:t>
      </w:r>
      <w:r>
        <w:rPr>
          <w:rFonts w:cs="Calibri"/>
          <w:lang w:eastAsia="it-IT"/>
        </w:rPr>
        <w:t xml:space="preserve"> </w:t>
      </w:r>
      <w:r w:rsidRPr="00A925D7">
        <w:rPr>
          <w:rFonts w:cs="Calibri"/>
          <w:lang w:eastAsia="it-IT"/>
        </w:rPr>
        <w:t>gli</w:t>
      </w:r>
      <w:r>
        <w:rPr>
          <w:rFonts w:cs="Calibri"/>
          <w:lang w:eastAsia="it-IT"/>
        </w:rPr>
        <w:t xml:space="preserve"> </w:t>
      </w:r>
      <w:r w:rsidRPr="00A925D7">
        <w:rPr>
          <w:rFonts w:cs="Calibri"/>
          <w:lang w:eastAsia="it-IT"/>
        </w:rPr>
        <w:t>elementi di</w:t>
      </w:r>
      <w:r>
        <w:rPr>
          <w:rFonts w:cs="Calibri"/>
          <w:lang w:eastAsia="it-IT"/>
        </w:rPr>
        <w:t xml:space="preserve"> base su</w:t>
      </w:r>
      <w:r w:rsidRPr="00A925D7">
        <w:rPr>
          <w:rFonts w:cs="Calibri"/>
          <w:lang w:eastAsia="it-IT"/>
        </w:rPr>
        <w:t>l</w:t>
      </w:r>
      <w:r>
        <w:rPr>
          <w:rFonts w:cs="Calibri"/>
          <w:lang w:eastAsia="it-IT"/>
        </w:rPr>
        <w:t xml:space="preserve"> </w:t>
      </w:r>
      <w:r w:rsidRPr="00A925D7">
        <w:rPr>
          <w:rFonts w:cs="Calibri"/>
          <w:lang w:eastAsia="it-IT"/>
        </w:rPr>
        <w:t>funzionamento</w:t>
      </w:r>
      <w:r>
        <w:rPr>
          <w:rFonts w:cs="Calibri"/>
          <w:lang w:eastAsia="it-IT"/>
        </w:rPr>
        <w:t xml:space="preserve"> </w:t>
      </w:r>
      <w:r w:rsidRPr="00A925D7">
        <w:rPr>
          <w:rFonts w:cs="Calibri"/>
          <w:lang w:eastAsia="it-IT"/>
        </w:rPr>
        <w:t>dell’</w:t>
      </w:r>
      <w:r>
        <w:rPr>
          <w:rFonts w:cs="Calibri"/>
          <w:lang w:eastAsia="it-IT"/>
        </w:rPr>
        <w:t>A</w:t>
      </w:r>
      <w:r w:rsidRPr="00A925D7">
        <w:rPr>
          <w:rFonts w:cs="Calibri"/>
          <w:lang w:eastAsia="it-IT"/>
        </w:rPr>
        <w:t>zienda. Sono</w:t>
      </w:r>
      <w:r>
        <w:rPr>
          <w:rFonts w:cs="Calibri"/>
          <w:lang w:eastAsia="it-IT"/>
        </w:rPr>
        <w:t xml:space="preserve"> </w:t>
      </w:r>
      <w:r w:rsidRPr="00A925D7">
        <w:rPr>
          <w:rFonts w:cs="Calibri"/>
          <w:lang w:eastAsia="it-IT"/>
        </w:rPr>
        <w:t>attribuiti ai responsabil</w:t>
      </w:r>
      <w:r>
        <w:rPr>
          <w:rFonts w:cs="Calibri"/>
          <w:lang w:eastAsia="it-IT"/>
        </w:rPr>
        <w:t>i di struttura in coerenza alle loro peculiarità.</w:t>
      </w:r>
      <w:r w:rsidRPr="00A925D7">
        <w:rPr>
          <w:rFonts w:cs="Calibri"/>
          <w:lang w:eastAsia="it-IT"/>
        </w:rPr>
        <w:t xml:space="preserve"> </w:t>
      </w:r>
      <w:r>
        <w:rPr>
          <w:rFonts w:cs="Calibri"/>
          <w:lang w:eastAsia="it-IT"/>
        </w:rPr>
        <w:t xml:space="preserve">I </w:t>
      </w:r>
      <w:r w:rsidRPr="00A925D7">
        <w:rPr>
          <w:rFonts w:cs="Calibri"/>
          <w:lang w:eastAsia="it-IT"/>
        </w:rPr>
        <w:t>Direttori di Dipartimento e</w:t>
      </w:r>
      <w:r>
        <w:rPr>
          <w:rFonts w:cs="Calibri"/>
          <w:lang w:eastAsia="it-IT"/>
        </w:rPr>
        <w:t xml:space="preserve"> </w:t>
      </w:r>
      <w:r w:rsidRPr="00A925D7">
        <w:rPr>
          <w:rFonts w:cs="Calibri"/>
          <w:lang w:eastAsia="it-IT"/>
        </w:rPr>
        <w:t>d</w:t>
      </w:r>
      <w:r>
        <w:rPr>
          <w:rFonts w:cs="Calibri"/>
          <w:lang w:eastAsia="it-IT"/>
        </w:rPr>
        <w:t>i</w:t>
      </w:r>
      <w:r w:rsidRPr="00A925D7">
        <w:rPr>
          <w:rFonts w:cs="Calibri"/>
          <w:lang w:eastAsia="it-IT"/>
        </w:rPr>
        <w:t xml:space="preserve"> Aree</w:t>
      </w:r>
      <w:r>
        <w:rPr>
          <w:rFonts w:cs="Calibri"/>
          <w:lang w:eastAsia="it-IT"/>
        </w:rPr>
        <w:t xml:space="preserve"> saranno valutati con la media dei risultati delle strutture afferenti.</w:t>
      </w:r>
    </w:p>
    <w:p w:rsidR="007E0A69" w:rsidRPr="00FE1C20" w:rsidRDefault="007E0A69" w:rsidP="00364A12">
      <w:pPr>
        <w:pStyle w:val="Paragrafoelenco"/>
        <w:widowControl w:val="0"/>
        <w:numPr>
          <w:ilvl w:val="0"/>
          <w:numId w:val="14"/>
        </w:numPr>
        <w:suppressAutoHyphens w:val="0"/>
        <w:autoSpaceDE w:val="0"/>
        <w:autoSpaceDN w:val="0"/>
        <w:adjustRightInd w:val="0"/>
        <w:spacing w:before="20" w:after="0" w:line="276" w:lineRule="auto"/>
        <w:ind w:right="484"/>
        <w:contextualSpacing w:val="0"/>
        <w:jc w:val="both"/>
        <w:rPr>
          <w:rFonts w:cs="Calibri"/>
        </w:rPr>
      </w:pPr>
      <w:r w:rsidRPr="00FE1C20">
        <w:rPr>
          <w:rFonts w:cs="Calibri"/>
          <w:b/>
        </w:rPr>
        <w:lastRenderedPageBreak/>
        <w:t>Obiettivi di sviluppo del sistema delle cure</w:t>
      </w:r>
      <w:r>
        <w:rPr>
          <w:rFonts w:cs="Calibri"/>
          <w:b/>
        </w:rPr>
        <w:t xml:space="preserve">: </w:t>
      </w:r>
      <w:r w:rsidRPr="00FE1C20">
        <w:rPr>
          <w:rFonts w:cs="Calibri"/>
        </w:rPr>
        <w:t>possono essere proposti dai Direttori di Dipartimento in condivisio</w:t>
      </w:r>
      <w:r>
        <w:rPr>
          <w:rFonts w:cs="Calibri"/>
        </w:rPr>
        <w:t xml:space="preserve">ne con i Direttori di struttura. </w:t>
      </w:r>
      <w:r>
        <w:rPr>
          <w:rFonts w:cs="Calibri"/>
          <w:lang w:eastAsia="it-IT"/>
        </w:rPr>
        <w:t>S</w:t>
      </w:r>
      <w:r w:rsidRPr="0074030E">
        <w:rPr>
          <w:rFonts w:cs="Calibri"/>
          <w:lang w:eastAsia="it-IT"/>
        </w:rPr>
        <w:t xml:space="preserve">ono attività di natura innovativa che modificano in modo sostanziale il sistema di erogazione delle cure e si fondano essenzialmente, ma non esclusivamente, su nuove modalità di erogazione dei servizi, o nuovi processi di cura ad alto impatto innovativo anche utilizzando nuove metodiche quali, ad esempio, Disruptive e/o dell’innovazione frugale. </w:t>
      </w:r>
      <w:r w:rsidRPr="0074030E">
        <w:rPr>
          <w:rFonts w:cs="Calibri"/>
        </w:rPr>
        <w:t>Vista la portata delle attività da realizzare lo sviluppo di tali progettualità potrà essere a carattere pluriannuale, prevedendo elementi intermedi di valutazione di avanzamento dei lavori a carattere annuale. Dovrà essere definito un progetto con obiettivi, azioni, risultati attesi intermedi e finali, responsabili delle azioni e tempistiche di realizzazione</w:t>
      </w:r>
      <w:r>
        <w:rPr>
          <w:rFonts w:cs="Calibri"/>
        </w:rPr>
        <w:t>.</w:t>
      </w:r>
    </w:p>
    <w:p w:rsidR="007E0A69" w:rsidRPr="00A925D7" w:rsidRDefault="007E0A69" w:rsidP="00364A12">
      <w:pPr>
        <w:pStyle w:val="Paragrafoelenco"/>
        <w:numPr>
          <w:ilvl w:val="0"/>
          <w:numId w:val="14"/>
        </w:numPr>
        <w:suppressAutoHyphens w:val="0"/>
        <w:autoSpaceDE w:val="0"/>
        <w:autoSpaceDN w:val="0"/>
        <w:adjustRightInd w:val="0"/>
        <w:spacing w:after="0" w:line="276" w:lineRule="auto"/>
        <w:ind w:right="484"/>
        <w:contextualSpacing w:val="0"/>
        <w:jc w:val="both"/>
        <w:rPr>
          <w:rFonts w:cs="Calibri"/>
          <w:lang w:eastAsia="it-IT"/>
        </w:rPr>
      </w:pPr>
      <w:r w:rsidRPr="00A925D7">
        <w:rPr>
          <w:rFonts w:cs="Calibri"/>
          <w:b/>
          <w:lang w:eastAsia="it-IT"/>
        </w:rPr>
        <w:t xml:space="preserve">Obiettivi per la gestione del </w:t>
      </w:r>
      <w:r>
        <w:rPr>
          <w:rFonts w:cs="Calibri"/>
          <w:b/>
          <w:lang w:eastAsia="it-IT"/>
        </w:rPr>
        <w:t xml:space="preserve">personale </w:t>
      </w:r>
      <w:r w:rsidRPr="0002470D">
        <w:rPr>
          <w:rFonts w:cs="Calibri"/>
          <w:lang w:eastAsia="it-IT"/>
        </w:rPr>
        <w:t>sono</w:t>
      </w:r>
      <w:r>
        <w:rPr>
          <w:rFonts w:cs="Calibri"/>
          <w:b/>
          <w:lang w:eastAsia="it-IT"/>
        </w:rPr>
        <w:t xml:space="preserve"> </w:t>
      </w:r>
      <w:r w:rsidRPr="00A925D7">
        <w:rPr>
          <w:rFonts w:cs="Calibri"/>
          <w:lang w:eastAsia="it-IT"/>
        </w:rPr>
        <w:t xml:space="preserve">costituiti da </w:t>
      </w:r>
      <w:r>
        <w:rPr>
          <w:rFonts w:cs="Calibri"/>
          <w:lang w:eastAsia="it-IT"/>
        </w:rPr>
        <w:t xml:space="preserve">due </w:t>
      </w:r>
      <w:r w:rsidRPr="00A925D7">
        <w:rPr>
          <w:rFonts w:cs="Calibri"/>
          <w:lang w:eastAsia="it-IT"/>
        </w:rPr>
        <w:t>elementi:</w:t>
      </w:r>
    </w:p>
    <w:p w:rsidR="007E0A69" w:rsidRPr="008947D3" w:rsidRDefault="007E0A69" w:rsidP="00364A12">
      <w:pPr>
        <w:pStyle w:val="Paragrafoelenco"/>
        <w:numPr>
          <w:ilvl w:val="1"/>
          <w:numId w:val="14"/>
        </w:numPr>
        <w:suppressAutoHyphens w:val="0"/>
        <w:autoSpaceDE w:val="0"/>
        <w:autoSpaceDN w:val="0"/>
        <w:adjustRightInd w:val="0"/>
        <w:spacing w:after="0" w:line="276" w:lineRule="auto"/>
        <w:ind w:right="484"/>
        <w:contextualSpacing w:val="0"/>
        <w:jc w:val="both"/>
        <w:rPr>
          <w:rFonts w:cs="Calibri"/>
          <w:lang w:eastAsia="it-IT"/>
        </w:rPr>
      </w:pPr>
      <w:r w:rsidRPr="008947D3">
        <w:rPr>
          <w:rFonts w:cs="Calibri"/>
          <w:lang w:eastAsia="it-IT"/>
        </w:rPr>
        <w:t>Sviluppo</w:t>
      </w:r>
      <w:r>
        <w:rPr>
          <w:rFonts w:cs="Calibri"/>
          <w:lang w:eastAsia="it-IT"/>
        </w:rPr>
        <w:t xml:space="preserve"> </w:t>
      </w:r>
      <w:r w:rsidRPr="008947D3">
        <w:rPr>
          <w:rFonts w:cs="Calibri"/>
          <w:lang w:eastAsia="it-IT"/>
        </w:rPr>
        <w:t>tecnico</w:t>
      </w:r>
      <w:r>
        <w:rPr>
          <w:rFonts w:cs="Calibri"/>
          <w:lang w:eastAsia="it-IT"/>
        </w:rPr>
        <w:t xml:space="preserve"> </w:t>
      </w:r>
      <w:r w:rsidRPr="008947D3">
        <w:rPr>
          <w:rFonts w:cs="Calibri"/>
          <w:lang w:eastAsia="it-IT"/>
        </w:rPr>
        <w:t>professionale d</w:t>
      </w:r>
      <w:r>
        <w:rPr>
          <w:rFonts w:cs="Calibri"/>
          <w:lang w:eastAsia="it-IT"/>
        </w:rPr>
        <w:t xml:space="preserve">ei </w:t>
      </w:r>
      <w:r w:rsidRPr="008947D3">
        <w:rPr>
          <w:rFonts w:cs="Calibri"/>
          <w:lang w:eastAsia="it-IT"/>
        </w:rPr>
        <w:t>Dirigent</w:t>
      </w:r>
      <w:r>
        <w:rPr>
          <w:rFonts w:cs="Calibri"/>
          <w:lang w:eastAsia="it-IT"/>
        </w:rPr>
        <w:t xml:space="preserve">i </w:t>
      </w:r>
      <w:r w:rsidRPr="008947D3">
        <w:rPr>
          <w:rFonts w:cs="Calibri"/>
          <w:lang w:eastAsia="it-IT"/>
        </w:rPr>
        <w:t>afferent</w:t>
      </w:r>
      <w:r>
        <w:rPr>
          <w:rFonts w:cs="Calibri"/>
          <w:lang w:eastAsia="it-IT"/>
        </w:rPr>
        <w:t xml:space="preserve">i </w:t>
      </w:r>
      <w:r w:rsidRPr="008947D3">
        <w:rPr>
          <w:rFonts w:cs="Calibri"/>
          <w:lang w:eastAsia="it-IT"/>
        </w:rPr>
        <w:t>alla</w:t>
      </w:r>
      <w:r>
        <w:rPr>
          <w:rFonts w:cs="Calibri"/>
          <w:lang w:eastAsia="it-IT"/>
        </w:rPr>
        <w:t xml:space="preserve"> </w:t>
      </w:r>
      <w:r w:rsidRPr="008947D3">
        <w:rPr>
          <w:rFonts w:cs="Calibri"/>
          <w:lang w:eastAsia="it-IT"/>
        </w:rPr>
        <w:t>struttura</w:t>
      </w:r>
      <w:r>
        <w:rPr>
          <w:rFonts w:cs="Calibri"/>
          <w:lang w:eastAsia="it-IT"/>
        </w:rPr>
        <w:t>;</w:t>
      </w:r>
    </w:p>
    <w:p w:rsidR="007E0A69" w:rsidRPr="00144F89" w:rsidRDefault="007E0A69" w:rsidP="00364A12">
      <w:pPr>
        <w:pStyle w:val="Paragrafoelenco"/>
        <w:numPr>
          <w:ilvl w:val="1"/>
          <w:numId w:val="14"/>
        </w:numPr>
        <w:suppressAutoHyphens w:val="0"/>
        <w:autoSpaceDE w:val="0"/>
        <w:autoSpaceDN w:val="0"/>
        <w:adjustRightInd w:val="0"/>
        <w:spacing w:after="0" w:line="276" w:lineRule="auto"/>
        <w:ind w:right="484"/>
        <w:contextualSpacing w:val="0"/>
        <w:jc w:val="both"/>
        <w:rPr>
          <w:rFonts w:cs="Calibri"/>
        </w:rPr>
      </w:pPr>
      <w:r>
        <w:rPr>
          <w:rFonts w:cs="Calibri"/>
          <w:lang w:eastAsia="it-IT"/>
        </w:rPr>
        <w:t xml:space="preserve">Equa </w:t>
      </w:r>
      <w:r w:rsidRPr="00BE5C41">
        <w:rPr>
          <w:rFonts w:cs="Calibri"/>
          <w:lang w:eastAsia="it-IT"/>
        </w:rPr>
        <w:t>attribuzione</w:t>
      </w:r>
      <w:r>
        <w:rPr>
          <w:rFonts w:cs="Calibri"/>
          <w:lang w:eastAsia="it-IT"/>
        </w:rPr>
        <w:t xml:space="preserve"> </w:t>
      </w:r>
      <w:r w:rsidRPr="00BE5C41">
        <w:rPr>
          <w:rFonts w:cs="Calibri"/>
          <w:lang w:eastAsia="it-IT"/>
        </w:rPr>
        <w:t>dei</w:t>
      </w:r>
      <w:r>
        <w:rPr>
          <w:rFonts w:cs="Calibri"/>
          <w:lang w:eastAsia="it-IT"/>
        </w:rPr>
        <w:t xml:space="preserve"> </w:t>
      </w:r>
      <w:r w:rsidRPr="00BE5C41">
        <w:rPr>
          <w:rFonts w:cs="Calibri"/>
          <w:lang w:eastAsia="it-IT"/>
        </w:rPr>
        <w:t>carichi di lavoro, misurata</w:t>
      </w:r>
      <w:r>
        <w:rPr>
          <w:rFonts w:cs="Calibri"/>
          <w:lang w:eastAsia="it-IT"/>
        </w:rPr>
        <w:t xml:space="preserve"> </w:t>
      </w:r>
      <w:r w:rsidRPr="00BE5C41">
        <w:rPr>
          <w:rFonts w:cs="Calibri"/>
          <w:lang w:eastAsia="it-IT"/>
        </w:rPr>
        <w:t>attraverso</w:t>
      </w:r>
      <w:r>
        <w:rPr>
          <w:rFonts w:cs="Calibri"/>
          <w:lang w:eastAsia="it-IT"/>
        </w:rPr>
        <w:t xml:space="preserve"> </w:t>
      </w:r>
      <w:r w:rsidRPr="00BE5C41">
        <w:rPr>
          <w:rFonts w:cs="Calibri"/>
          <w:lang w:eastAsia="it-IT"/>
        </w:rPr>
        <w:t>l’equilibrio del debito</w:t>
      </w:r>
      <w:r>
        <w:rPr>
          <w:rFonts w:cs="Calibri"/>
          <w:lang w:eastAsia="it-IT"/>
        </w:rPr>
        <w:t xml:space="preserve"> </w:t>
      </w:r>
      <w:r w:rsidRPr="00BE5C41">
        <w:rPr>
          <w:rFonts w:cs="Calibri"/>
          <w:lang w:eastAsia="it-IT"/>
        </w:rPr>
        <w:t>orario</w:t>
      </w:r>
      <w:r>
        <w:rPr>
          <w:rFonts w:cs="Calibri"/>
          <w:lang w:eastAsia="it-IT"/>
        </w:rPr>
        <w:t>.</w:t>
      </w:r>
    </w:p>
    <w:p w:rsidR="007E0A69" w:rsidRDefault="007E0A69" w:rsidP="00364A12">
      <w:pPr>
        <w:spacing w:line="276" w:lineRule="auto"/>
        <w:ind w:right="484"/>
        <w:jc w:val="both"/>
        <w:rPr>
          <w:rFonts w:ascii="Calibri" w:hAnsi="Calibri"/>
          <w:b/>
          <w:sz w:val="22"/>
        </w:rPr>
      </w:pPr>
    </w:p>
    <w:p w:rsidR="007E0A69" w:rsidRPr="00246BCD" w:rsidRDefault="007E0A69" w:rsidP="00364A12">
      <w:pPr>
        <w:spacing w:line="276" w:lineRule="auto"/>
        <w:ind w:right="484"/>
        <w:jc w:val="both"/>
        <w:rPr>
          <w:rFonts w:ascii="Calibri" w:hAnsi="Calibri"/>
          <w:b/>
          <w:sz w:val="22"/>
        </w:rPr>
      </w:pPr>
      <w:r w:rsidRPr="00246BCD">
        <w:rPr>
          <w:rFonts w:ascii="Calibri" w:hAnsi="Calibri"/>
          <w:b/>
          <w:sz w:val="22"/>
        </w:rPr>
        <w:t>Definizione degli standard e misurazione del livello di raggiungimento dei risulta</w:t>
      </w:r>
      <w:r>
        <w:rPr>
          <w:rFonts w:ascii="Calibri" w:hAnsi="Calibri"/>
          <w:b/>
          <w:sz w:val="22"/>
        </w:rPr>
        <w:t>t</w:t>
      </w:r>
      <w:r w:rsidRPr="00246BCD">
        <w:rPr>
          <w:rFonts w:ascii="Calibri" w:hAnsi="Calibri"/>
          <w:b/>
          <w:sz w:val="22"/>
        </w:rPr>
        <w:t>i attesi</w:t>
      </w:r>
    </w:p>
    <w:p w:rsidR="007E0A69" w:rsidRDefault="007E0A69" w:rsidP="00364A12">
      <w:pPr>
        <w:spacing w:line="276" w:lineRule="auto"/>
        <w:ind w:right="484"/>
        <w:jc w:val="both"/>
        <w:rPr>
          <w:rFonts w:ascii="Calibri" w:hAnsi="Calibri"/>
          <w:sz w:val="22"/>
        </w:rPr>
      </w:pPr>
      <w:r>
        <w:rPr>
          <w:rFonts w:ascii="Calibri" w:hAnsi="Calibri"/>
          <w:sz w:val="22"/>
        </w:rPr>
        <w:t>Sono definite due modalità di misurazione degli obiettivi quantitativi:</w:t>
      </w:r>
    </w:p>
    <w:p w:rsidR="007E0A69" w:rsidRDefault="007E0A69" w:rsidP="00364A12">
      <w:pPr>
        <w:pStyle w:val="Paragrafoelenco"/>
        <w:numPr>
          <w:ilvl w:val="0"/>
          <w:numId w:val="15"/>
        </w:numPr>
        <w:spacing w:line="276" w:lineRule="auto"/>
        <w:ind w:right="484"/>
        <w:jc w:val="both"/>
      </w:pPr>
      <w:r w:rsidRPr="003C090B">
        <w:rPr>
          <w:b/>
        </w:rPr>
        <w:t>Standard interni</w:t>
      </w:r>
      <w:r>
        <w:t>.</w:t>
      </w:r>
      <w:r w:rsidRPr="003C090B">
        <w:t xml:space="preserve"> </w:t>
      </w:r>
      <w:r>
        <w:t>T</w:t>
      </w:r>
      <w:r w:rsidRPr="006C4754">
        <w:t>ale approccio è uti</w:t>
      </w:r>
      <w:r w:rsidR="00FE26E8">
        <w:t xml:space="preserve">le a creare un sistema di </w:t>
      </w:r>
      <w:proofErr w:type="spellStart"/>
      <w:r w:rsidR="00FE26E8">
        <w:t>bench</w:t>
      </w:r>
      <w:r w:rsidRPr="006C4754">
        <w:t>marking</w:t>
      </w:r>
      <w:proofErr w:type="spellEnd"/>
      <w:r w:rsidRPr="006C4754">
        <w:t xml:space="preserve"> interno ed è poco influenzato da variabili esterne al sistema, infatti tutte le strutture </w:t>
      </w:r>
      <w:r>
        <w:t>h</w:t>
      </w:r>
      <w:r w:rsidRPr="006C4754">
        <w:t xml:space="preserve">anno la medesima esposizione agli elementi di perturbazione. </w:t>
      </w:r>
    </w:p>
    <w:p w:rsidR="007E0A69" w:rsidRDefault="007E0A69" w:rsidP="00364A12">
      <w:pPr>
        <w:pStyle w:val="Paragrafoelenco"/>
        <w:numPr>
          <w:ilvl w:val="1"/>
          <w:numId w:val="15"/>
        </w:numPr>
        <w:spacing w:line="276" w:lineRule="auto"/>
        <w:ind w:right="484"/>
        <w:jc w:val="both"/>
      </w:pPr>
      <w:r>
        <w:t>S</w:t>
      </w:r>
      <w:r w:rsidRPr="006C4754">
        <w:t>arà definito come standard di riferimento la migliore performance all’interno della nostra azienda tra discipline omogenee, che diviene il risultato atteso di riferimento, a cui sarà attribuito il 100% di raggiungimento.</w:t>
      </w:r>
    </w:p>
    <w:p w:rsidR="007E0A69" w:rsidRDefault="007E0A69" w:rsidP="00364A12">
      <w:pPr>
        <w:pStyle w:val="Paragrafoelenco"/>
        <w:numPr>
          <w:ilvl w:val="1"/>
          <w:numId w:val="15"/>
        </w:numPr>
        <w:spacing w:line="276" w:lineRule="auto"/>
        <w:ind w:right="484"/>
        <w:jc w:val="both"/>
      </w:pPr>
      <w:r w:rsidRPr="006C4754">
        <w:t xml:space="preserve">Gli scostamenti rispetto allo standard, sempre misurati in centili, rappresenteranno il livello di attribuzione di quell’obiettivo. </w:t>
      </w:r>
    </w:p>
    <w:p w:rsidR="007E0A69" w:rsidRDefault="007E0A69" w:rsidP="00364A12">
      <w:pPr>
        <w:pStyle w:val="Paragrafoelenco"/>
        <w:spacing w:line="276" w:lineRule="auto"/>
        <w:ind w:right="484"/>
        <w:jc w:val="both"/>
      </w:pPr>
      <w:r w:rsidRPr="003C090B">
        <w:rPr>
          <w:u w:val="single"/>
        </w:rPr>
        <w:t>Ad esempio</w:t>
      </w:r>
      <w:r>
        <w:t>:</w:t>
      </w:r>
      <w:r w:rsidRPr="006C4754">
        <w:t xml:space="preserve"> se la SOC1 in un obiettivo con andamento crescente, dove per ipotesi, la miglior performance ha un valore di 8, la struttura con valore 7.2 avrà raggiunto l’obiettivo al 90% e quindi gli verrà attribuito il 90% del peso di quello specifico obiettivo.</w:t>
      </w:r>
    </w:p>
    <w:p w:rsidR="007E0A69" w:rsidRDefault="007E0A69" w:rsidP="00364A12">
      <w:pPr>
        <w:pStyle w:val="Paragrafoelenco"/>
        <w:numPr>
          <w:ilvl w:val="0"/>
          <w:numId w:val="15"/>
        </w:numPr>
        <w:spacing w:line="276" w:lineRule="auto"/>
        <w:ind w:right="484"/>
        <w:jc w:val="both"/>
      </w:pPr>
      <w:r w:rsidRPr="003C090B">
        <w:rPr>
          <w:b/>
        </w:rPr>
        <w:t>Standard derivanti da normative cogenti</w:t>
      </w:r>
      <w:r>
        <w:t>: dove prevista una soglia definita da una istituzione europea, nazionale, regionale, il raggiungimento dell’obiettivo è valutato rispetto al raggiungimento dello standard. Ad esempio: volumi soglia di interventi per la chirurgia del tumore della mammella che ne garantiscano la qualità dell’esito.</w:t>
      </w:r>
    </w:p>
    <w:p w:rsidR="007E0A69" w:rsidRPr="006C4754" w:rsidRDefault="007E0A69" w:rsidP="00364A12">
      <w:pPr>
        <w:pStyle w:val="Paragrafoelenco"/>
        <w:numPr>
          <w:ilvl w:val="0"/>
          <w:numId w:val="15"/>
        </w:numPr>
        <w:spacing w:line="276" w:lineRule="auto"/>
        <w:ind w:right="484"/>
        <w:jc w:val="both"/>
      </w:pPr>
      <w:r w:rsidRPr="003C090B">
        <w:rPr>
          <w:b/>
        </w:rPr>
        <w:t>Standard derivanti da sistemi di valutazione terzi</w:t>
      </w:r>
      <w:r>
        <w:t>: Il sistema di valutazione delle performance regionale, sviluppato dal laboratorio di management e sanità (</w:t>
      </w:r>
      <w:proofErr w:type="spellStart"/>
      <w:r>
        <w:t>MeS</w:t>
      </w:r>
      <w:proofErr w:type="spellEnd"/>
      <w:r>
        <w:t xml:space="preserve">) dalla Scuola Superiore Sant’Anna di Pisa, ne rappresenta il prototipo. </w:t>
      </w:r>
      <w:r>
        <w:rPr>
          <w:rFonts w:cs="Calibri"/>
        </w:rPr>
        <w:t xml:space="preserve">Nelle fattispecie, ove sia applicabile, si </w:t>
      </w:r>
      <w:r w:rsidRPr="00770179">
        <w:rPr>
          <w:rFonts w:cs="Calibri"/>
        </w:rPr>
        <w:t xml:space="preserve">procede valutando </w:t>
      </w:r>
      <w:r>
        <w:rPr>
          <w:rFonts w:cs="Calibri"/>
        </w:rPr>
        <w:t>il target a livello aziendale (</w:t>
      </w:r>
      <w:r w:rsidRPr="00770179">
        <w:rPr>
          <w:rFonts w:cs="Calibri"/>
        </w:rPr>
        <w:t>o di stabilimento) rispetto al network delle aziende regionali (bersaglio</w:t>
      </w:r>
      <w:r>
        <w:rPr>
          <w:rFonts w:cs="Calibri"/>
        </w:rPr>
        <w:t xml:space="preserve"> del </w:t>
      </w:r>
      <w:proofErr w:type="spellStart"/>
      <w:r>
        <w:rPr>
          <w:rFonts w:cs="Calibri"/>
        </w:rPr>
        <w:t>MeS</w:t>
      </w:r>
      <w:proofErr w:type="spellEnd"/>
      <w:r>
        <w:rPr>
          <w:rFonts w:cs="Calibri"/>
        </w:rPr>
        <w:t>)</w:t>
      </w:r>
      <w:r w:rsidRPr="00770179">
        <w:rPr>
          <w:rFonts w:cs="Calibri"/>
        </w:rPr>
        <w:t xml:space="preserve"> e si attribuisce una valorizzazione </w:t>
      </w:r>
      <w:r>
        <w:rPr>
          <w:rFonts w:cs="Calibri"/>
        </w:rPr>
        <w:t>basata su</w:t>
      </w:r>
      <w:r w:rsidRPr="00770179">
        <w:rPr>
          <w:rFonts w:cs="Calibri"/>
        </w:rPr>
        <w:t xml:space="preserve"> quella del sistema d</w:t>
      </w:r>
      <w:r>
        <w:rPr>
          <w:rFonts w:cs="Calibri"/>
        </w:rPr>
        <w:t>i valutazione delle performance</w:t>
      </w:r>
      <w:r w:rsidRPr="00770179">
        <w:rPr>
          <w:rFonts w:cs="Calibri"/>
        </w:rPr>
        <w:t>. Fascia migliore 100% del peso relativo, a seguire 80%, 60% per fascia intermedia, 40% a seguire e 20% per la fascia peggiore</w:t>
      </w:r>
      <w:r>
        <w:rPr>
          <w:rFonts w:cs="Calibri"/>
        </w:rPr>
        <w:t>.</w:t>
      </w:r>
    </w:p>
    <w:p w:rsidR="007E0A69" w:rsidRDefault="007E0A69" w:rsidP="00364A12">
      <w:pPr>
        <w:spacing w:line="276" w:lineRule="auto"/>
        <w:ind w:right="484"/>
        <w:jc w:val="both"/>
        <w:rPr>
          <w:rFonts w:ascii="Calibri" w:hAnsi="Calibri"/>
          <w:sz w:val="22"/>
        </w:rPr>
      </w:pPr>
      <w:r w:rsidRPr="00BA3ABC">
        <w:rPr>
          <w:rFonts w:ascii="Calibri" w:hAnsi="Calibri"/>
          <w:sz w:val="22"/>
        </w:rPr>
        <w:t>Il risultato finale della scheda B è dato dalla sommatoria dei singoli punteggi raggiunti per ogni specifico obiettivo</w:t>
      </w:r>
      <w:r>
        <w:rPr>
          <w:rFonts w:ascii="Calibri" w:hAnsi="Calibri"/>
          <w:sz w:val="22"/>
        </w:rPr>
        <w:t>.</w:t>
      </w:r>
    </w:p>
    <w:p w:rsidR="007E0A69" w:rsidRDefault="007E0A69" w:rsidP="00BA3ABC">
      <w:pPr>
        <w:spacing w:line="276" w:lineRule="auto"/>
        <w:jc w:val="both"/>
        <w:rPr>
          <w:rFonts w:ascii="Calibri" w:hAnsi="Calibri"/>
          <w:sz w:val="22"/>
        </w:rPr>
      </w:pPr>
    </w:p>
    <w:p w:rsidR="007E0A69" w:rsidRDefault="007E0A69" w:rsidP="0066128A">
      <w:pPr>
        <w:pStyle w:val="Corpodeltesto2"/>
        <w:ind w:left="284" w:right="565"/>
        <w:outlineLvl w:val="1"/>
        <w:rPr>
          <w:rFonts w:ascii="Calibri" w:hAnsi="Calibri" w:cs="Tahoma"/>
          <w:b/>
          <w:sz w:val="22"/>
          <w:szCs w:val="22"/>
        </w:rPr>
      </w:pPr>
    </w:p>
    <w:p w:rsidR="007E0A69" w:rsidRPr="00AD7080" w:rsidRDefault="007E0A69" w:rsidP="008520FF">
      <w:pPr>
        <w:rPr>
          <w:rFonts w:ascii="Calibri" w:hAnsi="Calibri"/>
          <w:b/>
          <w:sz w:val="22"/>
          <w:szCs w:val="22"/>
        </w:rPr>
      </w:pPr>
      <w:r w:rsidRPr="00AD7080">
        <w:rPr>
          <w:rFonts w:ascii="Calibri" w:hAnsi="Calibri"/>
          <w:b/>
          <w:sz w:val="22"/>
          <w:szCs w:val="22"/>
        </w:rPr>
        <w:t>7.3 VALUTAZIONE INDIVIDUALE - SCHEDA C</w:t>
      </w:r>
    </w:p>
    <w:p w:rsidR="007E0A69" w:rsidRPr="00792A65" w:rsidRDefault="007E0A69" w:rsidP="00BA3ABC">
      <w:pPr>
        <w:pStyle w:val="Corpodeltesto2"/>
        <w:spacing w:line="276" w:lineRule="auto"/>
        <w:ind w:left="284" w:right="565"/>
        <w:rPr>
          <w:rFonts w:ascii="Calibri" w:hAnsi="Calibri" w:cs="Tahoma"/>
          <w:b/>
          <w:i/>
          <w:sz w:val="22"/>
          <w:szCs w:val="22"/>
        </w:rPr>
      </w:pPr>
    </w:p>
    <w:p w:rsidR="007E0A69" w:rsidRPr="00792A65" w:rsidRDefault="007E0A69" w:rsidP="00C70743">
      <w:pPr>
        <w:pStyle w:val="Corpotesto1"/>
        <w:spacing w:line="276" w:lineRule="auto"/>
        <w:ind w:left="284" w:right="565"/>
        <w:jc w:val="both"/>
        <w:rPr>
          <w:rFonts w:ascii="Calibri" w:hAnsi="Calibri" w:cs="Tahoma"/>
          <w:sz w:val="22"/>
          <w:szCs w:val="22"/>
        </w:rPr>
      </w:pPr>
      <w:r w:rsidRPr="00FB4DC3">
        <w:rPr>
          <w:rFonts w:ascii="Calibri" w:hAnsi="Calibri"/>
          <w:sz w:val="22"/>
          <w:szCs w:val="22"/>
        </w:rPr>
        <w:t>La scheda C di valutazione</w:t>
      </w:r>
      <w:r>
        <w:rPr>
          <w:rFonts w:ascii="Calibri" w:hAnsi="Calibri"/>
          <w:sz w:val="22"/>
          <w:szCs w:val="22"/>
        </w:rPr>
        <w:t xml:space="preserve"> della performance individuale della </w:t>
      </w:r>
      <w:r w:rsidRPr="00B653E1">
        <w:rPr>
          <w:rFonts w:ascii="Calibri" w:hAnsi="Calibri" w:cs="Tahoma"/>
          <w:sz w:val="22"/>
          <w:szCs w:val="22"/>
        </w:rPr>
        <w:t>Dirigenza</w:t>
      </w:r>
      <w:r>
        <w:rPr>
          <w:rFonts w:ascii="Calibri" w:hAnsi="Calibri"/>
          <w:sz w:val="22"/>
          <w:szCs w:val="22"/>
        </w:rPr>
        <w:t xml:space="preserve"> </w:t>
      </w:r>
      <w:r w:rsidRPr="00792A65">
        <w:rPr>
          <w:rFonts w:ascii="Calibri" w:hAnsi="Calibri" w:cs="Tahoma"/>
          <w:sz w:val="22"/>
          <w:szCs w:val="22"/>
        </w:rPr>
        <w:t xml:space="preserve">ha come elemento centrale di valutazione le competenze trasversali </w:t>
      </w:r>
      <w:r>
        <w:rPr>
          <w:rFonts w:ascii="Calibri" w:hAnsi="Calibri" w:cs="Tahoma"/>
          <w:sz w:val="22"/>
          <w:szCs w:val="22"/>
        </w:rPr>
        <w:t xml:space="preserve">e </w:t>
      </w:r>
      <w:r w:rsidRPr="00FB4DC3">
        <w:rPr>
          <w:rFonts w:ascii="Calibri" w:hAnsi="Calibri"/>
          <w:sz w:val="22"/>
          <w:szCs w:val="22"/>
        </w:rPr>
        <w:t>incide prevalentemente sul risultato della dirigenza Professionale, Tecnica ed Amministrativa (oltre il 70%), mentre per la Dirigenza Medico Veterinaria e Sanitaria pesa per un 20%.</w:t>
      </w:r>
      <w:r>
        <w:rPr>
          <w:rFonts w:ascii="Calibri" w:hAnsi="Calibri" w:cs="Tahoma"/>
          <w:sz w:val="22"/>
          <w:szCs w:val="22"/>
        </w:rPr>
        <w:t xml:space="preserve"> E’</w:t>
      </w:r>
      <w:r w:rsidRPr="00792A65">
        <w:rPr>
          <w:rFonts w:ascii="Calibri" w:hAnsi="Calibri" w:cs="Tahoma"/>
          <w:sz w:val="22"/>
          <w:szCs w:val="22"/>
        </w:rPr>
        <w:t xml:space="preserve"> formata da 20 item per ognuno dei quali è previsto un massimo di 5 punti. Per la costruzione degli item sono state considerate tre dimensioni:</w:t>
      </w:r>
    </w:p>
    <w:p w:rsidR="007E0A69" w:rsidRPr="00792A65" w:rsidRDefault="007E0A69" w:rsidP="00BA3ABC">
      <w:pPr>
        <w:pStyle w:val="Corpotesto1"/>
        <w:numPr>
          <w:ilvl w:val="0"/>
          <w:numId w:val="16"/>
        </w:numPr>
        <w:suppressAutoHyphens/>
        <w:spacing w:line="276" w:lineRule="auto"/>
        <w:ind w:right="565"/>
        <w:jc w:val="both"/>
        <w:rPr>
          <w:rFonts w:ascii="Calibri" w:hAnsi="Calibri" w:cs="Tahoma"/>
          <w:sz w:val="22"/>
          <w:szCs w:val="22"/>
        </w:rPr>
      </w:pPr>
      <w:r w:rsidRPr="00792A65">
        <w:rPr>
          <w:rFonts w:ascii="Calibri" w:hAnsi="Calibri" w:cs="Tahoma"/>
          <w:sz w:val="22"/>
          <w:szCs w:val="22"/>
        </w:rPr>
        <w:lastRenderedPageBreak/>
        <w:t>Realizzativa: livello di capacità di iniziativa, sensibilità economica, organizzazione e controllo.</w:t>
      </w:r>
    </w:p>
    <w:p w:rsidR="007E0A69" w:rsidRPr="00792A65" w:rsidRDefault="007E0A69" w:rsidP="00BA3ABC">
      <w:pPr>
        <w:pStyle w:val="Corpotesto1"/>
        <w:numPr>
          <w:ilvl w:val="0"/>
          <w:numId w:val="16"/>
        </w:numPr>
        <w:suppressAutoHyphens/>
        <w:spacing w:line="276" w:lineRule="auto"/>
        <w:ind w:right="565"/>
        <w:jc w:val="both"/>
        <w:rPr>
          <w:rFonts w:ascii="Calibri" w:hAnsi="Calibri" w:cs="Tahoma"/>
          <w:sz w:val="22"/>
          <w:szCs w:val="22"/>
        </w:rPr>
      </w:pPr>
      <w:r w:rsidRPr="00792A65">
        <w:rPr>
          <w:rFonts w:ascii="Calibri" w:hAnsi="Calibri" w:cs="Tahoma"/>
          <w:sz w:val="22"/>
          <w:szCs w:val="22"/>
        </w:rPr>
        <w:t>Manageriale: capacità concettuali e tecniche, abilità gestionali anche in contesti di complessità organizzativo funzionale e abilità nella gestione delle relazioni umane.</w:t>
      </w:r>
    </w:p>
    <w:p w:rsidR="007E0A69" w:rsidRDefault="007E0A69" w:rsidP="00BA3ABC">
      <w:pPr>
        <w:pStyle w:val="Corpotesto1"/>
        <w:numPr>
          <w:ilvl w:val="0"/>
          <w:numId w:val="16"/>
        </w:numPr>
        <w:suppressAutoHyphens/>
        <w:spacing w:line="276" w:lineRule="auto"/>
        <w:ind w:right="565"/>
        <w:jc w:val="both"/>
        <w:rPr>
          <w:rFonts w:ascii="Calibri" w:hAnsi="Calibri" w:cs="Tahoma"/>
          <w:sz w:val="22"/>
          <w:szCs w:val="22"/>
        </w:rPr>
      </w:pPr>
      <w:r w:rsidRPr="00792A65">
        <w:rPr>
          <w:rFonts w:ascii="Calibri" w:hAnsi="Calibri" w:cs="Tahoma"/>
          <w:sz w:val="22"/>
          <w:szCs w:val="22"/>
        </w:rPr>
        <w:t xml:space="preserve">Competenze: capacità di raggiungimento degli obiettivi programmati, di gestione in un contesto di cambiamento e di </w:t>
      </w:r>
      <w:proofErr w:type="spellStart"/>
      <w:r w:rsidRPr="00792A65">
        <w:rPr>
          <w:rFonts w:ascii="Calibri" w:hAnsi="Calibri" w:cs="Tahoma"/>
          <w:sz w:val="22"/>
          <w:szCs w:val="22"/>
        </w:rPr>
        <w:t>problem</w:t>
      </w:r>
      <w:proofErr w:type="spellEnd"/>
      <w:r w:rsidRPr="00792A65">
        <w:rPr>
          <w:rFonts w:ascii="Calibri" w:hAnsi="Calibri" w:cs="Tahoma"/>
          <w:sz w:val="22"/>
          <w:szCs w:val="22"/>
        </w:rPr>
        <w:t xml:space="preserve"> </w:t>
      </w:r>
      <w:proofErr w:type="spellStart"/>
      <w:r w:rsidRPr="00792A65">
        <w:rPr>
          <w:rFonts w:ascii="Calibri" w:hAnsi="Calibri" w:cs="Tahoma"/>
          <w:sz w:val="22"/>
          <w:szCs w:val="22"/>
        </w:rPr>
        <w:t>solving</w:t>
      </w:r>
      <w:proofErr w:type="spellEnd"/>
      <w:r w:rsidRPr="00792A65">
        <w:rPr>
          <w:rFonts w:ascii="Calibri" w:hAnsi="Calibri" w:cs="Tahoma"/>
          <w:sz w:val="22"/>
          <w:szCs w:val="22"/>
        </w:rPr>
        <w:t>.</w:t>
      </w:r>
    </w:p>
    <w:tbl>
      <w:tblPr>
        <w:tblW w:w="9355" w:type="dxa"/>
        <w:tblInd w:w="392" w:type="dxa"/>
        <w:tblLayout w:type="fixed"/>
        <w:tblLook w:val="00A0" w:firstRow="1" w:lastRow="0" w:firstColumn="1" w:lastColumn="0" w:noHBand="0" w:noVBand="0"/>
      </w:tblPr>
      <w:tblGrid>
        <w:gridCol w:w="5670"/>
        <w:gridCol w:w="3685"/>
      </w:tblGrid>
      <w:tr w:rsidR="007E0A69" w:rsidTr="00FE2268">
        <w:tc>
          <w:tcPr>
            <w:tcW w:w="5670" w:type="dxa"/>
            <w:vAlign w:val="bottom"/>
          </w:tcPr>
          <w:p w:rsidR="007E0A69" w:rsidRDefault="007E0A69" w:rsidP="00FE2268">
            <w:pPr>
              <w:tabs>
                <w:tab w:val="left" w:pos="2565"/>
              </w:tabs>
              <w:spacing w:after="120" w:line="276" w:lineRule="auto"/>
              <w:jc w:val="both"/>
              <w:rPr>
                <w:rFonts w:ascii="Calibri" w:hAnsi="Calibri" w:cs="Calibri"/>
              </w:rPr>
            </w:pPr>
            <w:r w:rsidRPr="00674FAE">
              <w:rPr>
                <w:rFonts w:ascii="Calibri" w:hAnsi="Calibri" w:cs="Tahoma"/>
                <w:sz w:val="22"/>
                <w:szCs w:val="22"/>
              </w:rPr>
              <w:t>Il livello complessivo di possesso delle competenze è quindi valutabile all’interno di un modello tridimensionale in cui i tre lati del cubo corrispondono ad ognuna delle tre dimensioni indagate e il soggetto presenta la prevalenza di una o più caratteristiche in base alla posizione occupata.</w:t>
            </w:r>
            <w:r w:rsidRPr="00674FAE">
              <w:rPr>
                <w:rFonts w:ascii="Calibri" w:hAnsi="Calibri" w:cs="Calibri"/>
                <w:sz w:val="22"/>
                <w:szCs w:val="22"/>
              </w:rPr>
              <w:t xml:space="preserve"> Il processo di valutazione è gestito e garantito dalla linea gerarchica attraverso i criteri previsti nel verbale di concertazione con le Organizzazioni sindacali siglato il 27 febbraio 2019. Il sistema di valutazione individuale, data la complessità e numerosità dell’Azienda è implementato in un sistema informatizzato a supporto di tutto il processo. Il processo di valutazione di sostanzia in 4 fasi temporali:</w:t>
            </w:r>
          </w:p>
          <w:p w:rsidR="007E0A69" w:rsidRPr="00674FAE" w:rsidRDefault="007E0A69" w:rsidP="00FE2268">
            <w:pPr>
              <w:tabs>
                <w:tab w:val="left" w:pos="2565"/>
              </w:tabs>
              <w:spacing w:after="120" w:line="276" w:lineRule="auto"/>
              <w:jc w:val="both"/>
              <w:rPr>
                <w:rFonts w:ascii="Calibri" w:hAnsi="Calibri" w:cs="Calibri"/>
              </w:rPr>
            </w:pPr>
          </w:p>
        </w:tc>
        <w:tc>
          <w:tcPr>
            <w:tcW w:w="3685" w:type="dxa"/>
            <w:vAlign w:val="bottom"/>
          </w:tcPr>
          <w:p w:rsidR="007E0A69" w:rsidRPr="00674FAE" w:rsidRDefault="00F14CF6" w:rsidP="00FE2268">
            <w:pPr>
              <w:pStyle w:val="Corpotesto1"/>
              <w:suppressAutoHyphens/>
              <w:spacing w:line="276" w:lineRule="auto"/>
              <w:ind w:right="565"/>
              <w:jc w:val="center"/>
              <w:rPr>
                <w:rFonts w:ascii="Calibri" w:hAnsi="Calibri" w:cs="Tahoma"/>
                <w:sz w:val="22"/>
                <w:szCs w:val="22"/>
              </w:rPr>
            </w:pPr>
            <w:r>
              <w:rPr>
                <w:rFonts w:ascii="Calibri" w:hAnsi="Calibri" w:cs="Tahoma"/>
                <w:noProof/>
                <w:sz w:val="22"/>
                <w:szCs w:val="22"/>
              </w:rPr>
              <w:drawing>
                <wp:inline distT="0" distB="0" distL="0" distR="0">
                  <wp:extent cx="2076450" cy="21050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r="7506" b="-3275"/>
                          <a:stretch>
                            <a:fillRect/>
                          </a:stretch>
                        </pic:blipFill>
                        <pic:spPr bwMode="auto">
                          <a:xfrm>
                            <a:off x="0" y="0"/>
                            <a:ext cx="2076450" cy="2105025"/>
                          </a:xfrm>
                          <a:prstGeom prst="rect">
                            <a:avLst/>
                          </a:prstGeom>
                          <a:noFill/>
                          <a:ln>
                            <a:noFill/>
                          </a:ln>
                        </pic:spPr>
                      </pic:pic>
                    </a:graphicData>
                  </a:graphic>
                </wp:inline>
              </w:drawing>
            </w:r>
          </w:p>
        </w:tc>
      </w:tr>
      <w:tr w:rsidR="007E0A69" w:rsidTr="000067E2">
        <w:tc>
          <w:tcPr>
            <w:tcW w:w="9355" w:type="dxa"/>
            <w:gridSpan w:val="2"/>
            <w:vAlign w:val="bottom"/>
          </w:tcPr>
          <w:p w:rsidR="007E0A69" w:rsidRPr="002653F6" w:rsidRDefault="007E0A69" w:rsidP="002653F6">
            <w:pPr>
              <w:pStyle w:val="Corpotesto1"/>
              <w:numPr>
                <w:ilvl w:val="0"/>
                <w:numId w:val="19"/>
              </w:numPr>
              <w:suppressAutoHyphens/>
              <w:spacing w:line="276" w:lineRule="auto"/>
              <w:ind w:right="565"/>
              <w:rPr>
                <w:rFonts w:ascii="Calibri" w:hAnsi="Calibri" w:cs="Tahoma"/>
                <w:sz w:val="22"/>
                <w:szCs w:val="22"/>
              </w:rPr>
            </w:pPr>
            <w:r w:rsidRPr="002653F6">
              <w:rPr>
                <w:rFonts w:ascii="Calibri" w:hAnsi="Calibri" w:cs="Tahoma"/>
                <w:sz w:val="22"/>
                <w:szCs w:val="22"/>
              </w:rPr>
              <w:t>la compilazione della scheda di valutazione da parte del valutatore di 1° istanza</w:t>
            </w:r>
          </w:p>
          <w:p w:rsidR="007E0A69" w:rsidRPr="002653F6" w:rsidRDefault="007E0A69" w:rsidP="002653F6">
            <w:pPr>
              <w:pStyle w:val="Corpotesto1"/>
              <w:numPr>
                <w:ilvl w:val="0"/>
                <w:numId w:val="19"/>
              </w:numPr>
              <w:suppressAutoHyphens/>
              <w:spacing w:line="276" w:lineRule="auto"/>
              <w:ind w:right="565"/>
              <w:rPr>
                <w:rFonts w:ascii="Calibri" w:hAnsi="Calibri" w:cs="Tahoma"/>
                <w:sz w:val="22"/>
                <w:szCs w:val="22"/>
              </w:rPr>
            </w:pPr>
            <w:r w:rsidRPr="002653F6">
              <w:rPr>
                <w:rFonts w:ascii="Calibri" w:hAnsi="Calibri" w:cs="Tahoma"/>
                <w:sz w:val="22"/>
                <w:szCs w:val="22"/>
              </w:rPr>
              <w:t>la presa visione da parte del valutato e quindi accettazione o contestazione</w:t>
            </w:r>
          </w:p>
          <w:p w:rsidR="007E0A69" w:rsidRDefault="007E0A69" w:rsidP="002653F6">
            <w:pPr>
              <w:pStyle w:val="Corpotesto1"/>
              <w:numPr>
                <w:ilvl w:val="0"/>
                <w:numId w:val="19"/>
              </w:numPr>
              <w:suppressAutoHyphens/>
              <w:spacing w:line="276" w:lineRule="auto"/>
              <w:ind w:right="565"/>
              <w:rPr>
                <w:rFonts w:ascii="Calibri" w:hAnsi="Calibri" w:cs="Tahoma"/>
                <w:sz w:val="22"/>
                <w:szCs w:val="22"/>
              </w:rPr>
            </w:pPr>
            <w:r w:rsidRPr="002653F6">
              <w:rPr>
                <w:rFonts w:ascii="Calibri" w:hAnsi="Calibri" w:cs="Tahoma"/>
                <w:sz w:val="22"/>
                <w:szCs w:val="22"/>
              </w:rPr>
              <w:t>la eventuale valutazione d’intesa in caso di contestazione</w:t>
            </w:r>
            <w:r>
              <w:rPr>
                <w:rFonts w:ascii="Calibri" w:hAnsi="Calibri" w:cs="Tahoma"/>
                <w:sz w:val="22"/>
                <w:szCs w:val="22"/>
              </w:rPr>
              <w:t xml:space="preserve"> </w:t>
            </w:r>
          </w:p>
          <w:p w:rsidR="007E0A69" w:rsidRPr="00674FAE" w:rsidRDefault="007E0A69" w:rsidP="002653F6">
            <w:pPr>
              <w:pStyle w:val="Corpotesto1"/>
              <w:numPr>
                <w:ilvl w:val="0"/>
                <w:numId w:val="19"/>
              </w:numPr>
              <w:suppressAutoHyphens/>
              <w:spacing w:line="276" w:lineRule="auto"/>
              <w:ind w:right="565"/>
              <w:rPr>
                <w:rFonts w:ascii="Calibri" w:hAnsi="Calibri" w:cs="Tahoma"/>
                <w:sz w:val="22"/>
                <w:szCs w:val="22"/>
              </w:rPr>
            </w:pPr>
            <w:r w:rsidRPr="002653F6">
              <w:rPr>
                <w:rFonts w:ascii="Calibri" w:hAnsi="Calibri" w:cs="Tahoma"/>
                <w:sz w:val="22"/>
                <w:szCs w:val="22"/>
              </w:rPr>
              <w:t>elaborazione complessiva delle fasce di merito e liquidazione economica</w:t>
            </w:r>
          </w:p>
        </w:tc>
      </w:tr>
    </w:tbl>
    <w:p w:rsidR="007E0A69" w:rsidRDefault="00F14CF6" w:rsidP="002653F6">
      <w:pPr>
        <w:pStyle w:val="Titolo1"/>
        <w:tabs>
          <w:tab w:val="clear" w:pos="360"/>
        </w:tabs>
        <w:ind w:right="565"/>
        <w:rPr>
          <w:rFonts w:ascii="Calibri" w:hAnsi="Calibri"/>
          <w:sz w:val="22"/>
          <w:szCs w:val="22"/>
        </w:rPr>
      </w:pPr>
      <w:bookmarkStart w:id="17" w:name="_Toc72510519"/>
      <w:bookmarkStart w:id="18" w:name="_Toc371328673"/>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0</wp:posOffset>
            </wp:positionV>
            <wp:extent cx="3606800" cy="4476750"/>
            <wp:effectExtent l="0" t="0" r="0" b="0"/>
            <wp:wrapSquare wrapText="bothSides"/>
            <wp:docPr id="2" name="Immagine 4" descr="Immagine che contiene mappa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Immagine che contiene mappaDescrizione generata automaticamente"/>
                    <pic:cNvPicPr>
                      <a:picLocks noChangeAspect="1" noChangeArrowheads="1"/>
                    </pic:cNvPicPr>
                  </pic:nvPicPr>
                  <pic:blipFill>
                    <a:blip r:embed="rId9">
                      <a:extLst>
                        <a:ext uri="{28A0092B-C50C-407E-A947-70E740481C1C}">
                          <a14:useLocalDpi xmlns:a14="http://schemas.microsoft.com/office/drawing/2010/main" val="0"/>
                        </a:ext>
                      </a:extLst>
                    </a:blip>
                    <a:srcRect l="24666" r="2032"/>
                    <a:stretch>
                      <a:fillRect/>
                    </a:stretch>
                  </pic:blipFill>
                  <pic:spPr bwMode="auto">
                    <a:xfrm>
                      <a:off x="0" y="0"/>
                      <a:ext cx="3606800" cy="4476750"/>
                    </a:xfrm>
                    <a:prstGeom prst="rect">
                      <a:avLst/>
                    </a:prstGeom>
                    <a:noFill/>
                  </pic:spPr>
                </pic:pic>
              </a:graphicData>
            </a:graphic>
          </wp:anchor>
        </w:drawing>
      </w:r>
      <w:bookmarkEnd w:id="17"/>
    </w:p>
    <w:p w:rsidR="007E0A69" w:rsidRPr="002653F6" w:rsidRDefault="007E0A69" w:rsidP="002653F6"/>
    <w:p w:rsidR="007E0A69" w:rsidRPr="00792A65" w:rsidRDefault="007E0A69" w:rsidP="00BD2B7B">
      <w:pPr>
        <w:pStyle w:val="Titolo1"/>
        <w:numPr>
          <w:ilvl w:val="0"/>
          <w:numId w:val="5"/>
        </w:numPr>
        <w:ind w:left="284" w:right="565"/>
        <w:rPr>
          <w:rFonts w:ascii="Calibri" w:hAnsi="Calibri"/>
          <w:sz w:val="22"/>
          <w:szCs w:val="22"/>
        </w:rPr>
      </w:pPr>
      <w:r>
        <w:rPr>
          <w:rFonts w:ascii="Calibri" w:hAnsi="Calibri"/>
          <w:sz w:val="22"/>
          <w:szCs w:val="22"/>
        </w:rPr>
        <w:br w:type="page"/>
      </w:r>
      <w:bookmarkStart w:id="19" w:name="_Toc72510520"/>
      <w:r w:rsidRPr="00792A65">
        <w:rPr>
          <w:rFonts w:ascii="Calibri" w:hAnsi="Calibri"/>
          <w:sz w:val="22"/>
          <w:szCs w:val="22"/>
        </w:rPr>
        <w:lastRenderedPageBreak/>
        <w:t>Pubblicazione Schede Budget e Reportistica</w:t>
      </w:r>
      <w:bookmarkEnd w:id="18"/>
      <w:bookmarkEnd w:id="19"/>
      <w:r w:rsidRPr="00792A65">
        <w:rPr>
          <w:rFonts w:ascii="Calibri" w:hAnsi="Calibri"/>
          <w:sz w:val="22"/>
          <w:szCs w:val="22"/>
        </w:rPr>
        <w:t xml:space="preserve"> </w:t>
      </w:r>
    </w:p>
    <w:p w:rsidR="007E0A69" w:rsidRPr="00792A65" w:rsidRDefault="007E0A69" w:rsidP="00792A65">
      <w:pPr>
        <w:ind w:left="284" w:right="565"/>
        <w:rPr>
          <w:rFonts w:ascii="Calibri" w:hAnsi="Calibri"/>
          <w:sz w:val="22"/>
          <w:szCs w:val="22"/>
        </w:rPr>
      </w:pPr>
    </w:p>
    <w:p w:rsidR="007E0A69" w:rsidRPr="00792A65" w:rsidRDefault="007E0A69" w:rsidP="00792A65">
      <w:pPr>
        <w:ind w:left="284" w:right="565"/>
        <w:jc w:val="both"/>
        <w:rPr>
          <w:rFonts w:ascii="Calibri" w:hAnsi="Calibri" w:cs="Tahoma"/>
          <w:sz w:val="22"/>
          <w:szCs w:val="22"/>
        </w:rPr>
      </w:pPr>
      <w:r w:rsidRPr="00792A65">
        <w:rPr>
          <w:rFonts w:ascii="Calibri" w:hAnsi="Calibri" w:cs="Tahoma"/>
          <w:sz w:val="22"/>
          <w:szCs w:val="22"/>
        </w:rPr>
        <w:t xml:space="preserve">Le Schede Budget negoziate e firmate vengono scannerizzate e pubblicate sulla procedura del Controllo di Gestione (denominata Oslo) e contestualmente sul sito internet aziendale, in una apposita sezione a ciò dedicata, ai fini di garantire adeguata trasparenza e diffusione a tutto il personale aziendale, </w:t>
      </w:r>
    </w:p>
    <w:p w:rsidR="007E0A69" w:rsidRPr="00792A65" w:rsidRDefault="007E0A69" w:rsidP="00792A65">
      <w:pPr>
        <w:ind w:left="284" w:right="565"/>
        <w:jc w:val="both"/>
        <w:rPr>
          <w:rFonts w:ascii="Calibri" w:hAnsi="Calibri" w:cs="Tahoma"/>
          <w:sz w:val="22"/>
          <w:szCs w:val="22"/>
        </w:rPr>
      </w:pPr>
    </w:p>
    <w:p w:rsidR="007E0A69" w:rsidRPr="00792A65" w:rsidRDefault="007E0A69" w:rsidP="00792A65">
      <w:pPr>
        <w:ind w:left="284" w:right="565"/>
        <w:jc w:val="both"/>
        <w:rPr>
          <w:rFonts w:ascii="Calibri" w:hAnsi="Calibri" w:cs="Tahoma"/>
          <w:sz w:val="22"/>
          <w:szCs w:val="22"/>
        </w:rPr>
      </w:pPr>
      <w:r w:rsidRPr="00792A65">
        <w:rPr>
          <w:rFonts w:ascii="Calibri" w:hAnsi="Calibri" w:cs="Tahoma"/>
          <w:sz w:val="22"/>
          <w:szCs w:val="22"/>
        </w:rPr>
        <w:t>Le verifiche intermedie ed i monitoraggi infrannuali</w:t>
      </w:r>
      <w:bookmarkStart w:id="20" w:name="_GoBack"/>
      <w:bookmarkEnd w:id="20"/>
      <w:r w:rsidRPr="00792A65">
        <w:rPr>
          <w:rFonts w:ascii="Calibri" w:hAnsi="Calibri" w:cs="Tahoma"/>
          <w:sz w:val="22"/>
          <w:szCs w:val="22"/>
        </w:rPr>
        <w:t xml:space="preserve"> sono pubblicati</w:t>
      </w:r>
      <w:r>
        <w:rPr>
          <w:rFonts w:ascii="Calibri" w:hAnsi="Calibri" w:cs="Tahoma"/>
          <w:sz w:val="22"/>
          <w:szCs w:val="22"/>
        </w:rPr>
        <w:t xml:space="preserve"> su web </w:t>
      </w:r>
      <w:proofErr w:type="spellStart"/>
      <w:r>
        <w:rPr>
          <w:rFonts w:ascii="Calibri" w:hAnsi="Calibri" w:cs="Tahoma"/>
          <w:sz w:val="22"/>
          <w:szCs w:val="22"/>
        </w:rPr>
        <w:t>application</w:t>
      </w:r>
      <w:proofErr w:type="spellEnd"/>
      <w:r>
        <w:rPr>
          <w:rFonts w:ascii="Calibri" w:hAnsi="Calibri" w:cs="Tahoma"/>
          <w:sz w:val="22"/>
          <w:szCs w:val="22"/>
        </w:rPr>
        <w:t xml:space="preserve"> budget WAB e </w:t>
      </w:r>
      <w:r w:rsidRPr="00792A65">
        <w:rPr>
          <w:rFonts w:ascii="Calibri" w:hAnsi="Calibri" w:cs="Tahoma"/>
          <w:sz w:val="22"/>
          <w:szCs w:val="22"/>
        </w:rPr>
        <w:t xml:space="preserve"> in procedura OSLO dove sono riportati, distinti per Dipartimento, le schede obiettivi di SOC e SOSd con i risultati infrannuali monitorabili oltre al Bilancino della struttura. L’accesso al portale è dedicato ai Direttori di struttura che vi accedono con identificazione del nome utente e della password individuale. </w:t>
      </w:r>
    </w:p>
    <w:p w:rsidR="007E0A69" w:rsidRPr="00792A65" w:rsidRDefault="007E0A69" w:rsidP="00792A65">
      <w:pPr>
        <w:ind w:left="284" w:right="565"/>
        <w:jc w:val="both"/>
        <w:rPr>
          <w:rFonts w:ascii="Calibri" w:hAnsi="Calibri" w:cs="Tahoma"/>
          <w:sz w:val="22"/>
          <w:szCs w:val="22"/>
        </w:rPr>
      </w:pPr>
    </w:p>
    <w:p w:rsidR="007E0A69" w:rsidRPr="00792A65" w:rsidRDefault="007E0A69" w:rsidP="00792A65">
      <w:pPr>
        <w:ind w:left="284" w:right="565"/>
        <w:jc w:val="both"/>
        <w:rPr>
          <w:rFonts w:ascii="Calibri" w:hAnsi="Calibri" w:cs="Tahoma"/>
          <w:sz w:val="22"/>
          <w:szCs w:val="22"/>
        </w:rPr>
      </w:pPr>
      <w:r w:rsidRPr="00792A65">
        <w:rPr>
          <w:rFonts w:ascii="Calibri" w:hAnsi="Calibri" w:cs="Tahoma"/>
          <w:sz w:val="22"/>
          <w:szCs w:val="22"/>
        </w:rPr>
        <w:t xml:space="preserve">A seguito della fase di valutazione di raggiungimento degli obiettivi budgetari si dà pubblicazione delle schede valutate dal Nucleo di Valutazione (i cui esiti sono approvati dalla Direzione Generale) sul portale OSLO in una apposita sezione. </w:t>
      </w:r>
    </w:p>
    <w:p w:rsidR="007E0A69" w:rsidRPr="00792A65" w:rsidRDefault="007E0A69" w:rsidP="007E79AA">
      <w:pPr>
        <w:ind w:right="565"/>
        <w:jc w:val="both"/>
        <w:rPr>
          <w:rFonts w:ascii="Calibri" w:hAnsi="Calibri" w:cs="Tahoma"/>
          <w:b/>
          <w:sz w:val="22"/>
          <w:szCs w:val="22"/>
          <w:highlight w:val="green"/>
        </w:rPr>
      </w:pPr>
    </w:p>
    <w:p w:rsidR="007E0A69" w:rsidRPr="00792A65" w:rsidRDefault="007E0A69" w:rsidP="00BD2B7B">
      <w:pPr>
        <w:pStyle w:val="Titolo1"/>
        <w:numPr>
          <w:ilvl w:val="0"/>
          <w:numId w:val="5"/>
        </w:numPr>
        <w:ind w:left="284" w:right="565"/>
        <w:rPr>
          <w:rFonts w:ascii="Calibri" w:hAnsi="Calibri"/>
          <w:sz w:val="22"/>
          <w:szCs w:val="22"/>
        </w:rPr>
      </w:pPr>
      <w:bookmarkStart w:id="21" w:name="_Toc276724544"/>
      <w:bookmarkStart w:id="22" w:name="_Toc276725005"/>
      <w:bookmarkStart w:id="23" w:name="_Toc371328676"/>
      <w:bookmarkStart w:id="24" w:name="_Toc72510521"/>
      <w:r w:rsidRPr="00792A65">
        <w:rPr>
          <w:rFonts w:ascii="Calibri" w:hAnsi="Calibri"/>
          <w:sz w:val="22"/>
          <w:szCs w:val="22"/>
        </w:rPr>
        <w:t>Documenti di riferimento</w:t>
      </w:r>
      <w:bookmarkEnd w:id="21"/>
      <w:bookmarkEnd w:id="22"/>
      <w:bookmarkEnd w:id="23"/>
      <w:bookmarkEnd w:id="24"/>
    </w:p>
    <w:p w:rsidR="007E0A69" w:rsidRPr="00792A65" w:rsidRDefault="007E0A69" w:rsidP="00792A65">
      <w:pPr>
        <w:pStyle w:val="Titolo1"/>
        <w:tabs>
          <w:tab w:val="clear" w:pos="360"/>
        </w:tabs>
        <w:ind w:left="284" w:right="565" w:firstLine="0"/>
        <w:rPr>
          <w:rFonts w:ascii="Calibri" w:hAnsi="Calibri"/>
          <w:sz w:val="22"/>
          <w:szCs w:val="22"/>
        </w:rPr>
      </w:pPr>
      <w:r w:rsidRPr="00792A65">
        <w:rPr>
          <w:rFonts w:ascii="Calibri" w:hAnsi="Calibri"/>
          <w:sz w:val="22"/>
          <w:szCs w:val="22"/>
        </w:rPr>
        <w:t xml:space="preserve"> </w:t>
      </w:r>
    </w:p>
    <w:p w:rsidR="007E0A69" w:rsidRPr="00792A65" w:rsidRDefault="007E0A69" w:rsidP="00BD2B7B">
      <w:pPr>
        <w:numPr>
          <w:ilvl w:val="0"/>
          <w:numId w:val="7"/>
        </w:numPr>
        <w:tabs>
          <w:tab w:val="clear" w:pos="720"/>
          <w:tab w:val="left" w:pos="0"/>
          <w:tab w:val="num" w:pos="360"/>
        </w:tabs>
        <w:ind w:left="284" w:right="565"/>
        <w:jc w:val="both"/>
        <w:rPr>
          <w:rFonts w:ascii="Calibri" w:hAnsi="Calibri" w:cs="Tahoma"/>
          <w:bCs/>
          <w:sz w:val="22"/>
          <w:szCs w:val="22"/>
        </w:rPr>
      </w:pPr>
      <w:r w:rsidRPr="00792A65">
        <w:rPr>
          <w:rFonts w:ascii="Calibri" w:hAnsi="Calibri" w:cs="Tahoma"/>
          <w:bCs/>
          <w:sz w:val="22"/>
          <w:szCs w:val="22"/>
        </w:rPr>
        <w:t>Decreto legislativo nr</w:t>
      </w:r>
      <w:r w:rsidR="00FE26E8">
        <w:rPr>
          <w:rFonts w:ascii="Calibri" w:hAnsi="Calibri" w:cs="Tahoma"/>
          <w:bCs/>
          <w:sz w:val="22"/>
          <w:szCs w:val="22"/>
        </w:rPr>
        <w:t>. 286/99 e ss.mm.ii.</w:t>
      </w:r>
      <w:r w:rsidRPr="00792A65">
        <w:rPr>
          <w:rFonts w:ascii="Calibri" w:hAnsi="Calibri" w:cs="Tahoma"/>
          <w:bCs/>
          <w:sz w:val="22"/>
          <w:szCs w:val="22"/>
        </w:rPr>
        <w:t>;</w:t>
      </w:r>
    </w:p>
    <w:p w:rsidR="007E0A69" w:rsidRPr="00792A65" w:rsidRDefault="007E0A69" w:rsidP="00BD2B7B">
      <w:pPr>
        <w:numPr>
          <w:ilvl w:val="0"/>
          <w:numId w:val="7"/>
        </w:numPr>
        <w:tabs>
          <w:tab w:val="clear" w:pos="720"/>
          <w:tab w:val="left" w:pos="0"/>
          <w:tab w:val="num" w:pos="360"/>
        </w:tabs>
        <w:ind w:left="284" w:right="565"/>
        <w:jc w:val="both"/>
        <w:rPr>
          <w:rFonts w:ascii="Calibri" w:hAnsi="Calibri" w:cs="Tahoma"/>
          <w:bCs/>
          <w:sz w:val="22"/>
          <w:szCs w:val="22"/>
        </w:rPr>
      </w:pPr>
      <w:r w:rsidRPr="00792A65">
        <w:rPr>
          <w:rFonts w:ascii="Calibri" w:hAnsi="Calibri" w:cs="Tahoma"/>
          <w:bCs/>
          <w:sz w:val="22"/>
          <w:szCs w:val="22"/>
        </w:rPr>
        <w:t>Decreto Legislativo nr. 150/2009;</w:t>
      </w:r>
    </w:p>
    <w:p w:rsidR="007E0A69" w:rsidRPr="00792A65" w:rsidRDefault="007E0A69" w:rsidP="00BD2B7B">
      <w:pPr>
        <w:numPr>
          <w:ilvl w:val="0"/>
          <w:numId w:val="7"/>
        </w:numPr>
        <w:tabs>
          <w:tab w:val="clear" w:pos="720"/>
          <w:tab w:val="left" w:pos="0"/>
          <w:tab w:val="num" w:pos="360"/>
        </w:tabs>
        <w:ind w:left="284" w:right="565"/>
        <w:jc w:val="both"/>
        <w:rPr>
          <w:rFonts w:ascii="Calibri" w:hAnsi="Calibri" w:cs="Tahoma"/>
          <w:bCs/>
          <w:sz w:val="22"/>
          <w:szCs w:val="22"/>
        </w:rPr>
      </w:pPr>
      <w:r w:rsidRPr="00792A65">
        <w:rPr>
          <w:rFonts w:ascii="Calibri" w:hAnsi="Calibri" w:cs="Tahoma"/>
          <w:bCs/>
          <w:sz w:val="22"/>
          <w:szCs w:val="22"/>
        </w:rPr>
        <w:t>Legge regionale Toscana nr. 40/2005 e</w:t>
      </w:r>
      <w:r w:rsidR="00FE26E8">
        <w:rPr>
          <w:rFonts w:ascii="Calibri" w:hAnsi="Calibri" w:cs="Tahoma"/>
          <w:bCs/>
          <w:sz w:val="22"/>
          <w:szCs w:val="22"/>
        </w:rPr>
        <w:t xml:space="preserve"> </w:t>
      </w:r>
      <w:r w:rsidR="00FE26E8">
        <w:rPr>
          <w:rFonts w:ascii="Calibri" w:hAnsi="Calibri" w:cs="Tahoma"/>
          <w:bCs/>
          <w:sz w:val="22"/>
          <w:szCs w:val="22"/>
        </w:rPr>
        <w:t>ss.mm.ii.</w:t>
      </w:r>
      <w:r w:rsidRPr="00792A65">
        <w:rPr>
          <w:rFonts w:ascii="Calibri" w:hAnsi="Calibri" w:cs="Tahoma"/>
          <w:bCs/>
          <w:sz w:val="22"/>
          <w:szCs w:val="22"/>
        </w:rPr>
        <w:t>;</w:t>
      </w:r>
    </w:p>
    <w:p w:rsidR="007E0A69" w:rsidRPr="00792A65" w:rsidRDefault="007E0A69" w:rsidP="00BD2B7B">
      <w:pPr>
        <w:numPr>
          <w:ilvl w:val="0"/>
          <w:numId w:val="7"/>
        </w:numPr>
        <w:tabs>
          <w:tab w:val="clear" w:pos="720"/>
          <w:tab w:val="left" w:pos="0"/>
          <w:tab w:val="num" w:pos="360"/>
        </w:tabs>
        <w:ind w:left="284" w:right="565"/>
        <w:jc w:val="both"/>
        <w:rPr>
          <w:rFonts w:ascii="Calibri" w:hAnsi="Calibri" w:cs="Tahoma"/>
          <w:bCs/>
          <w:sz w:val="22"/>
          <w:szCs w:val="22"/>
        </w:rPr>
      </w:pPr>
      <w:r w:rsidRPr="00792A65">
        <w:rPr>
          <w:rFonts w:ascii="Calibri" w:hAnsi="Calibri" w:cs="Tahoma"/>
          <w:bCs/>
          <w:sz w:val="22"/>
          <w:szCs w:val="22"/>
        </w:rPr>
        <w:t>Delibera GRT nr. 465 del 28/05/2012;</w:t>
      </w:r>
    </w:p>
    <w:p w:rsidR="007E0A69" w:rsidRPr="00792A65" w:rsidRDefault="007E0A69" w:rsidP="00BD2B7B">
      <w:pPr>
        <w:numPr>
          <w:ilvl w:val="0"/>
          <w:numId w:val="7"/>
        </w:numPr>
        <w:tabs>
          <w:tab w:val="clear" w:pos="720"/>
          <w:tab w:val="left" w:pos="0"/>
          <w:tab w:val="num" w:pos="360"/>
        </w:tabs>
        <w:ind w:left="284" w:right="565"/>
        <w:jc w:val="both"/>
        <w:rPr>
          <w:rFonts w:ascii="Calibri" w:hAnsi="Calibri" w:cs="Tahoma"/>
          <w:bCs/>
          <w:sz w:val="22"/>
          <w:szCs w:val="22"/>
        </w:rPr>
      </w:pPr>
      <w:r w:rsidRPr="00792A65">
        <w:rPr>
          <w:rFonts w:ascii="Calibri" w:hAnsi="Calibri" w:cs="Tahoma"/>
          <w:bCs/>
          <w:sz w:val="22"/>
          <w:szCs w:val="22"/>
        </w:rPr>
        <w:t>Delibera GRT nr. 308 del 29/04/2013;</w:t>
      </w:r>
    </w:p>
    <w:p w:rsidR="007E0A69" w:rsidRPr="00792A65" w:rsidRDefault="007E0A69" w:rsidP="00BD2B7B">
      <w:pPr>
        <w:numPr>
          <w:ilvl w:val="0"/>
          <w:numId w:val="7"/>
        </w:numPr>
        <w:tabs>
          <w:tab w:val="clear" w:pos="720"/>
          <w:tab w:val="left" w:pos="0"/>
          <w:tab w:val="num" w:pos="360"/>
        </w:tabs>
        <w:ind w:left="284" w:right="565"/>
        <w:jc w:val="both"/>
        <w:rPr>
          <w:rFonts w:ascii="Calibri" w:hAnsi="Calibri" w:cs="Tahoma"/>
          <w:bCs/>
          <w:sz w:val="22"/>
          <w:szCs w:val="22"/>
        </w:rPr>
      </w:pPr>
      <w:r w:rsidRPr="00792A65">
        <w:rPr>
          <w:rFonts w:ascii="Calibri" w:hAnsi="Calibri" w:cs="Tahoma"/>
          <w:bCs/>
          <w:sz w:val="22"/>
          <w:szCs w:val="22"/>
        </w:rPr>
        <w:t>Legge regionale Toscana n° 84 del 28/ 12/2015;</w:t>
      </w:r>
    </w:p>
    <w:p w:rsidR="007E0A69" w:rsidRPr="00792A65" w:rsidRDefault="007E0A69" w:rsidP="00BD2B7B">
      <w:pPr>
        <w:numPr>
          <w:ilvl w:val="0"/>
          <w:numId w:val="7"/>
        </w:numPr>
        <w:tabs>
          <w:tab w:val="clear" w:pos="720"/>
          <w:tab w:val="left" w:pos="0"/>
          <w:tab w:val="num" w:pos="360"/>
        </w:tabs>
        <w:ind w:left="284" w:right="565"/>
        <w:jc w:val="both"/>
        <w:rPr>
          <w:rFonts w:ascii="Calibri" w:hAnsi="Calibri" w:cs="Tahoma"/>
          <w:bCs/>
          <w:sz w:val="22"/>
          <w:szCs w:val="22"/>
        </w:rPr>
      </w:pPr>
      <w:r w:rsidRPr="00792A65">
        <w:rPr>
          <w:rFonts w:ascii="Calibri" w:hAnsi="Calibri" w:cs="Tahoma"/>
          <w:bCs/>
          <w:sz w:val="22"/>
          <w:szCs w:val="22"/>
        </w:rPr>
        <w:t>Delibera GRT nr. 269 del 04/03/2019;</w:t>
      </w:r>
    </w:p>
    <w:p w:rsidR="007E0A69" w:rsidRPr="00792A65" w:rsidRDefault="007E0A69" w:rsidP="00BD2B7B">
      <w:pPr>
        <w:numPr>
          <w:ilvl w:val="0"/>
          <w:numId w:val="7"/>
        </w:numPr>
        <w:tabs>
          <w:tab w:val="clear" w:pos="720"/>
          <w:tab w:val="left" w:pos="0"/>
          <w:tab w:val="num" w:pos="360"/>
        </w:tabs>
        <w:ind w:left="284" w:right="565"/>
        <w:jc w:val="both"/>
        <w:rPr>
          <w:rFonts w:ascii="Calibri" w:hAnsi="Calibri" w:cs="Tahoma"/>
          <w:bCs/>
          <w:sz w:val="22"/>
          <w:szCs w:val="22"/>
        </w:rPr>
      </w:pPr>
      <w:r w:rsidRPr="00792A65">
        <w:rPr>
          <w:rFonts w:ascii="Calibri" w:hAnsi="Calibri" w:cs="Tahoma"/>
          <w:bCs/>
          <w:sz w:val="22"/>
          <w:szCs w:val="22"/>
        </w:rPr>
        <w:t>Delibera AUTC nr. 1748 del 19/12/2019;</w:t>
      </w:r>
    </w:p>
    <w:p w:rsidR="007E0A69" w:rsidRPr="00792A65" w:rsidRDefault="00FE26E8" w:rsidP="00BD2B7B">
      <w:pPr>
        <w:numPr>
          <w:ilvl w:val="0"/>
          <w:numId w:val="7"/>
        </w:numPr>
        <w:tabs>
          <w:tab w:val="clear" w:pos="720"/>
          <w:tab w:val="num" w:pos="360"/>
        </w:tabs>
        <w:ind w:left="284" w:right="565"/>
        <w:jc w:val="both"/>
        <w:rPr>
          <w:rFonts w:ascii="Calibri" w:hAnsi="Calibri" w:cs="Tahoma"/>
          <w:bCs/>
          <w:sz w:val="22"/>
          <w:szCs w:val="22"/>
        </w:rPr>
      </w:pPr>
      <w:r>
        <w:rPr>
          <w:rFonts w:ascii="Calibri" w:hAnsi="Calibri" w:cs="Tahoma"/>
          <w:bCs/>
          <w:sz w:val="22"/>
          <w:szCs w:val="22"/>
        </w:rPr>
        <w:t xml:space="preserve">Regolamento aziendale AUSL </w:t>
      </w:r>
      <w:r w:rsidR="007E0A69" w:rsidRPr="00792A65">
        <w:rPr>
          <w:rFonts w:ascii="Calibri" w:hAnsi="Calibri" w:cs="Tahoma"/>
          <w:bCs/>
          <w:sz w:val="22"/>
          <w:szCs w:val="22"/>
        </w:rPr>
        <w:t>Toscana Centro;</w:t>
      </w:r>
    </w:p>
    <w:p w:rsidR="007E0A69" w:rsidRPr="00792A65" w:rsidRDefault="007E0A69" w:rsidP="00BD2B7B">
      <w:pPr>
        <w:numPr>
          <w:ilvl w:val="0"/>
          <w:numId w:val="7"/>
        </w:numPr>
        <w:tabs>
          <w:tab w:val="clear" w:pos="720"/>
          <w:tab w:val="num" w:pos="360"/>
        </w:tabs>
        <w:ind w:left="284" w:right="565"/>
        <w:jc w:val="both"/>
        <w:rPr>
          <w:rFonts w:ascii="Calibri" w:hAnsi="Calibri" w:cs="Tahoma"/>
          <w:bCs/>
          <w:sz w:val="22"/>
          <w:szCs w:val="22"/>
        </w:rPr>
      </w:pPr>
      <w:r>
        <w:rPr>
          <w:rFonts w:ascii="Calibri" w:hAnsi="Calibri" w:cs="Tahoma"/>
          <w:bCs/>
          <w:sz w:val="22"/>
          <w:szCs w:val="22"/>
        </w:rPr>
        <w:t>Statuto A</w:t>
      </w:r>
      <w:r w:rsidRPr="00792A65">
        <w:rPr>
          <w:rFonts w:ascii="Calibri" w:hAnsi="Calibri" w:cs="Tahoma"/>
          <w:bCs/>
          <w:sz w:val="22"/>
          <w:szCs w:val="22"/>
        </w:rPr>
        <w:t>ziendale  AUSL Toscana Centro</w:t>
      </w:r>
    </w:p>
    <w:p w:rsidR="007E0A69" w:rsidRPr="00792A65" w:rsidRDefault="007E0A69" w:rsidP="00792A65">
      <w:pPr>
        <w:pStyle w:val="Corpotesto1"/>
        <w:ind w:left="284" w:right="565"/>
        <w:rPr>
          <w:rFonts w:ascii="Calibri" w:hAnsi="Calibri" w:cs="Tahoma"/>
          <w:color w:val="0000FF"/>
          <w:sz w:val="22"/>
          <w:szCs w:val="22"/>
        </w:rPr>
      </w:pPr>
    </w:p>
    <w:p w:rsidR="007E0A69" w:rsidRPr="00792A65" w:rsidRDefault="007E0A69" w:rsidP="00792A65">
      <w:pPr>
        <w:ind w:left="284" w:right="565"/>
        <w:jc w:val="both"/>
        <w:rPr>
          <w:rFonts w:ascii="Calibri" w:hAnsi="Calibri" w:cs="Tahoma"/>
          <w:sz w:val="22"/>
          <w:szCs w:val="22"/>
        </w:rPr>
      </w:pPr>
    </w:p>
    <w:sectPr w:rsidR="007E0A69" w:rsidRPr="00792A65" w:rsidSect="003639B8">
      <w:footerReference w:type="even" r:id="rId10"/>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40A" w:rsidRDefault="00F3040A">
      <w:r>
        <w:separator/>
      </w:r>
    </w:p>
  </w:endnote>
  <w:endnote w:type="continuationSeparator" w:id="0">
    <w:p w:rsidR="00F3040A" w:rsidRDefault="00F3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69" w:rsidRDefault="008F1481">
    <w:pPr>
      <w:pStyle w:val="Pidipagina"/>
      <w:framePr w:wrap="around" w:vAnchor="text" w:hAnchor="margin" w:xAlign="right" w:y="1"/>
      <w:rPr>
        <w:rStyle w:val="Numeropagina"/>
      </w:rPr>
    </w:pPr>
    <w:r>
      <w:rPr>
        <w:rStyle w:val="Numeropagina"/>
      </w:rPr>
      <w:fldChar w:fldCharType="begin"/>
    </w:r>
    <w:r w:rsidR="007E0A69">
      <w:rPr>
        <w:rStyle w:val="Numeropagina"/>
      </w:rPr>
      <w:instrText xml:space="preserve">PAGE  </w:instrText>
    </w:r>
    <w:r>
      <w:rPr>
        <w:rStyle w:val="Numeropagina"/>
      </w:rPr>
      <w:fldChar w:fldCharType="end"/>
    </w:r>
  </w:p>
  <w:p w:rsidR="007E0A69" w:rsidRDefault="007E0A6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A69" w:rsidRPr="001B7471" w:rsidRDefault="007E0A69" w:rsidP="00B53FB7">
    <w:pPr>
      <w:pStyle w:val="Pidipagina"/>
      <w:jc w:val="right"/>
      <w:rPr>
        <w:rFonts w:ascii="Verdana" w:hAnsi="Verdana"/>
        <w:sz w:val="16"/>
        <w:szCs w:val="16"/>
      </w:rPr>
    </w:pPr>
    <w:r>
      <w:tab/>
    </w:r>
    <w:r w:rsidRPr="001B7471">
      <w:rPr>
        <w:rFonts w:ascii="Verdana" w:hAnsi="Verdana"/>
        <w:sz w:val="16"/>
        <w:szCs w:val="16"/>
      </w:rPr>
      <w:t xml:space="preserve">Pagina </w:t>
    </w:r>
    <w:r w:rsidR="008F1481" w:rsidRPr="001B7471">
      <w:rPr>
        <w:rFonts w:ascii="Verdana" w:hAnsi="Verdana"/>
        <w:sz w:val="16"/>
        <w:szCs w:val="16"/>
      </w:rPr>
      <w:fldChar w:fldCharType="begin"/>
    </w:r>
    <w:r w:rsidRPr="001B7471">
      <w:rPr>
        <w:rFonts w:ascii="Verdana" w:hAnsi="Verdana"/>
        <w:sz w:val="16"/>
        <w:szCs w:val="16"/>
      </w:rPr>
      <w:instrText xml:space="preserve"> PAGE </w:instrText>
    </w:r>
    <w:r w:rsidR="008F1481" w:rsidRPr="001B7471">
      <w:rPr>
        <w:rFonts w:ascii="Verdana" w:hAnsi="Verdana"/>
        <w:sz w:val="16"/>
        <w:szCs w:val="16"/>
      </w:rPr>
      <w:fldChar w:fldCharType="separate"/>
    </w:r>
    <w:r w:rsidR="00FE26E8">
      <w:rPr>
        <w:rFonts w:ascii="Verdana" w:hAnsi="Verdana"/>
        <w:noProof/>
        <w:sz w:val="16"/>
        <w:szCs w:val="16"/>
      </w:rPr>
      <w:t>1</w:t>
    </w:r>
    <w:r w:rsidR="008F1481" w:rsidRPr="001B7471">
      <w:rPr>
        <w:rFonts w:ascii="Verdana" w:hAnsi="Verdana"/>
        <w:sz w:val="16"/>
        <w:szCs w:val="16"/>
      </w:rPr>
      <w:fldChar w:fldCharType="end"/>
    </w:r>
    <w:r w:rsidRPr="001B7471">
      <w:rPr>
        <w:rFonts w:ascii="Verdana" w:hAnsi="Verdana"/>
        <w:sz w:val="16"/>
        <w:szCs w:val="16"/>
      </w:rPr>
      <w:t xml:space="preserve"> di </w:t>
    </w:r>
    <w:r w:rsidR="008F1481" w:rsidRPr="001B7471">
      <w:rPr>
        <w:rFonts w:ascii="Verdana" w:hAnsi="Verdana"/>
        <w:sz w:val="16"/>
        <w:szCs w:val="16"/>
      </w:rPr>
      <w:fldChar w:fldCharType="begin"/>
    </w:r>
    <w:r w:rsidRPr="001B7471">
      <w:rPr>
        <w:rFonts w:ascii="Verdana" w:hAnsi="Verdana"/>
        <w:sz w:val="16"/>
        <w:szCs w:val="16"/>
      </w:rPr>
      <w:instrText xml:space="preserve"> NUMPAGES </w:instrText>
    </w:r>
    <w:r w:rsidR="008F1481" w:rsidRPr="001B7471">
      <w:rPr>
        <w:rFonts w:ascii="Verdana" w:hAnsi="Verdana"/>
        <w:sz w:val="16"/>
        <w:szCs w:val="16"/>
      </w:rPr>
      <w:fldChar w:fldCharType="separate"/>
    </w:r>
    <w:r w:rsidR="00FE26E8">
      <w:rPr>
        <w:rFonts w:ascii="Verdana" w:hAnsi="Verdana"/>
        <w:noProof/>
        <w:sz w:val="16"/>
        <w:szCs w:val="16"/>
      </w:rPr>
      <w:t>15</w:t>
    </w:r>
    <w:r w:rsidR="008F1481" w:rsidRPr="001B7471">
      <w:rPr>
        <w:rFonts w:ascii="Verdana" w:hAnsi="Verda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40A" w:rsidRDefault="00F3040A">
      <w:r>
        <w:separator/>
      </w:r>
    </w:p>
  </w:footnote>
  <w:footnote w:type="continuationSeparator" w:id="0">
    <w:p w:rsidR="00F3040A" w:rsidRDefault="00F30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BF4D022"/>
    <w:lvl w:ilvl="0">
      <w:start w:val="1"/>
      <w:numFmt w:val="bullet"/>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8"/>
    <w:lvl w:ilvl="0">
      <w:numFmt w:val="bullet"/>
      <w:lvlText w:val="-"/>
      <w:lvlJc w:val="left"/>
      <w:pPr>
        <w:tabs>
          <w:tab w:val="num" w:pos="0"/>
        </w:tabs>
        <w:ind w:left="720" w:hanging="360"/>
      </w:pPr>
      <w:rPr>
        <w:rFonts w:ascii="Garamond" w:hAnsi="Garamond" w:hint="default"/>
        <w:sz w:val="24"/>
      </w:rPr>
    </w:lvl>
  </w:abstractNum>
  <w:abstractNum w:abstractNumId="2">
    <w:nsid w:val="0000000A"/>
    <w:multiLevelType w:val="singleLevel"/>
    <w:tmpl w:val="0000000A"/>
    <w:name w:val="WW8Num10"/>
    <w:lvl w:ilvl="0">
      <w:start w:val="1"/>
      <w:numFmt w:val="lowerLetter"/>
      <w:lvlText w:val="%1)"/>
      <w:lvlJc w:val="left"/>
      <w:pPr>
        <w:tabs>
          <w:tab w:val="num" w:pos="0"/>
        </w:tabs>
        <w:ind w:left="720" w:hanging="360"/>
      </w:pPr>
      <w:rPr>
        <w:rFonts w:ascii="Garamond" w:hAnsi="Garamond" w:cs="Calibri Light" w:hint="default"/>
      </w:rPr>
    </w:lvl>
  </w:abstractNum>
  <w:abstractNum w:abstractNumId="3">
    <w:nsid w:val="01886665"/>
    <w:multiLevelType w:val="hybridMultilevel"/>
    <w:tmpl w:val="D5BC0D82"/>
    <w:lvl w:ilvl="0" w:tplc="2082A4F6">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ABA3E9F"/>
    <w:multiLevelType w:val="hybridMultilevel"/>
    <w:tmpl w:val="3BA451F6"/>
    <w:lvl w:ilvl="0" w:tplc="AA86474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EF4889"/>
    <w:multiLevelType w:val="multilevel"/>
    <w:tmpl w:val="AF6EBAE2"/>
    <w:lvl w:ilvl="0">
      <w:start w:val="6"/>
      <w:numFmt w:val="decimal"/>
      <w:lvlText w:val="%1"/>
      <w:lvlJc w:val="left"/>
      <w:pPr>
        <w:tabs>
          <w:tab w:val="num" w:pos="432"/>
        </w:tabs>
        <w:ind w:left="432" w:hanging="432"/>
      </w:pPr>
      <w:rPr>
        <w:rFonts w:cs="Times New Roman" w:hint="default"/>
      </w:rPr>
    </w:lvl>
    <w:lvl w:ilvl="1">
      <w:start w:val="1"/>
      <w:numFmt w:val="decimal"/>
      <w:pStyle w:val="Titolo2"/>
      <w:lvlText w:val="%1.%2"/>
      <w:lvlJc w:val="left"/>
      <w:pPr>
        <w:tabs>
          <w:tab w:val="num" w:pos="576"/>
        </w:tabs>
        <w:ind w:left="576" w:hanging="576"/>
      </w:pPr>
      <w:rPr>
        <w:rFonts w:cs="Times New Roman" w:hint="default"/>
      </w:rPr>
    </w:lvl>
    <w:lvl w:ilvl="2">
      <w:start w:val="1"/>
      <w:numFmt w:val="decimal"/>
      <w:pStyle w:val="Titolo3"/>
      <w:lvlText w:val="%1.%2.%3"/>
      <w:lvlJc w:val="left"/>
      <w:pPr>
        <w:tabs>
          <w:tab w:val="num" w:pos="720"/>
        </w:tabs>
        <w:ind w:left="720" w:hanging="720"/>
      </w:pPr>
      <w:rPr>
        <w:rFonts w:cs="Times New Roman" w:hint="default"/>
      </w:rPr>
    </w:lvl>
    <w:lvl w:ilvl="3">
      <w:start w:val="1"/>
      <w:numFmt w:val="decimal"/>
      <w:pStyle w:val="Titolo4"/>
      <w:lvlText w:val="%1.%2.%3.%4"/>
      <w:lvlJc w:val="left"/>
      <w:pPr>
        <w:tabs>
          <w:tab w:val="num" w:pos="864"/>
        </w:tabs>
        <w:ind w:left="864" w:hanging="864"/>
      </w:pPr>
      <w:rPr>
        <w:rFonts w:cs="Times New Roman" w:hint="default"/>
      </w:rPr>
    </w:lvl>
    <w:lvl w:ilvl="4">
      <w:start w:val="1"/>
      <w:numFmt w:val="decimal"/>
      <w:pStyle w:val="Titolo5"/>
      <w:lvlText w:val="%1.%2.%3.%4.%5"/>
      <w:lvlJc w:val="left"/>
      <w:pPr>
        <w:tabs>
          <w:tab w:val="num" w:pos="1008"/>
        </w:tabs>
        <w:ind w:left="1008" w:hanging="1008"/>
      </w:pPr>
      <w:rPr>
        <w:rFonts w:cs="Times New Roman" w:hint="default"/>
      </w:rPr>
    </w:lvl>
    <w:lvl w:ilvl="5">
      <w:start w:val="1"/>
      <w:numFmt w:val="decimal"/>
      <w:pStyle w:val="Titolo6"/>
      <w:lvlText w:val="%1.%2.%3.%4.%5.%6"/>
      <w:lvlJc w:val="left"/>
      <w:pPr>
        <w:tabs>
          <w:tab w:val="num" w:pos="1152"/>
        </w:tabs>
        <w:ind w:left="1152" w:hanging="1152"/>
      </w:pPr>
      <w:rPr>
        <w:rFonts w:cs="Times New Roman" w:hint="default"/>
      </w:rPr>
    </w:lvl>
    <w:lvl w:ilvl="6">
      <w:start w:val="1"/>
      <w:numFmt w:val="decimal"/>
      <w:pStyle w:val="Titolo7"/>
      <w:lvlText w:val="%1.%2.%3.%4.%5.%6.%7"/>
      <w:lvlJc w:val="left"/>
      <w:pPr>
        <w:tabs>
          <w:tab w:val="num" w:pos="1296"/>
        </w:tabs>
        <w:ind w:left="1296" w:hanging="1296"/>
      </w:pPr>
      <w:rPr>
        <w:rFonts w:cs="Times New Roman" w:hint="default"/>
      </w:rPr>
    </w:lvl>
    <w:lvl w:ilvl="7">
      <w:start w:val="1"/>
      <w:numFmt w:val="decimal"/>
      <w:pStyle w:val="Titolo8"/>
      <w:lvlText w:val="%1.%2.%3.%4.%5.%6.%7.%8"/>
      <w:lvlJc w:val="left"/>
      <w:pPr>
        <w:tabs>
          <w:tab w:val="num" w:pos="1440"/>
        </w:tabs>
        <w:ind w:left="1440" w:hanging="1440"/>
      </w:pPr>
      <w:rPr>
        <w:rFonts w:cs="Times New Roman" w:hint="default"/>
      </w:rPr>
    </w:lvl>
    <w:lvl w:ilvl="8">
      <w:start w:val="1"/>
      <w:numFmt w:val="decimal"/>
      <w:pStyle w:val="Titolo9"/>
      <w:lvlText w:val="%1.%2.%3.%4.%5.%6.%7.%8.%9"/>
      <w:lvlJc w:val="left"/>
      <w:pPr>
        <w:tabs>
          <w:tab w:val="num" w:pos="1584"/>
        </w:tabs>
        <w:ind w:left="1584" w:hanging="1584"/>
      </w:pPr>
      <w:rPr>
        <w:rFonts w:cs="Times New Roman" w:hint="default"/>
      </w:rPr>
    </w:lvl>
  </w:abstractNum>
  <w:abstractNum w:abstractNumId="6">
    <w:nsid w:val="1BC21C3A"/>
    <w:multiLevelType w:val="hybridMultilevel"/>
    <w:tmpl w:val="4D065E0E"/>
    <w:lvl w:ilvl="0" w:tplc="2082A4F6">
      <w:start w:val="1"/>
      <w:numFmt w:val="bullet"/>
      <w:lvlText w:val="‐"/>
      <w:lvlJc w:val="left"/>
      <w:pPr>
        <w:ind w:left="720" w:hanging="360"/>
      </w:pPr>
      <w:rPr>
        <w:rFonts w:ascii="Calibri" w:hAnsi="Calibri"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C8B470E"/>
    <w:multiLevelType w:val="hybridMultilevel"/>
    <w:tmpl w:val="39665C32"/>
    <w:lvl w:ilvl="0" w:tplc="2082A4F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17F2E86"/>
    <w:multiLevelType w:val="multilevel"/>
    <w:tmpl w:val="FD44B5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6"/>
        </w:tabs>
        <w:ind w:left="508" w:hanging="432"/>
      </w:pPr>
      <w:rPr>
        <w:rFonts w:cs="Times New Roman" w:hint="default"/>
      </w:rPr>
    </w:lvl>
    <w:lvl w:ilvl="2">
      <w:start w:val="1"/>
      <w:numFmt w:val="decimal"/>
      <w:lvlText w:val="%1.%2.%3."/>
      <w:lvlJc w:val="left"/>
      <w:pPr>
        <w:tabs>
          <w:tab w:val="num" w:pos="1516"/>
        </w:tabs>
        <w:ind w:left="940" w:hanging="504"/>
      </w:pPr>
      <w:rPr>
        <w:rFonts w:cs="Times New Roman" w:hint="default"/>
      </w:rPr>
    </w:lvl>
    <w:lvl w:ilvl="3">
      <w:start w:val="1"/>
      <w:numFmt w:val="decimal"/>
      <w:lvlText w:val="%1.%2.%3.%4."/>
      <w:lvlJc w:val="left"/>
      <w:pPr>
        <w:tabs>
          <w:tab w:val="num" w:pos="2236"/>
        </w:tabs>
        <w:ind w:left="1444" w:hanging="648"/>
      </w:pPr>
      <w:rPr>
        <w:rFonts w:cs="Times New Roman" w:hint="default"/>
      </w:rPr>
    </w:lvl>
    <w:lvl w:ilvl="4">
      <w:start w:val="1"/>
      <w:numFmt w:val="decimal"/>
      <w:lvlText w:val="%1.%2.%3.%4.%5."/>
      <w:lvlJc w:val="left"/>
      <w:pPr>
        <w:tabs>
          <w:tab w:val="num" w:pos="2596"/>
        </w:tabs>
        <w:ind w:left="1948" w:hanging="792"/>
      </w:pPr>
      <w:rPr>
        <w:rFonts w:cs="Times New Roman" w:hint="default"/>
      </w:rPr>
    </w:lvl>
    <w:lvl w:ilvl="5">
      <w:start w:val="1"/>
      <w:numFmt w:val="decimal"/>
      <w:lvlText w:val="%1.%2.%3.%4.%5.%6."/>
      <w:lvlJc w:val="left"/>
      <w:pPr>
        <w:tabs>
          <w:tab w:val="num" w:pos="3316"/>
        </w:tabs>
        <w:ind w:left="2452" w:hanging="936"/>
      </w:pPr>
      <w:rPr>
        <w:rFonts w:cs="Times New Roman" w:hint="default"/>
      </w:rPr>
    </w:lvl>
    <w:lvl w:ilvl="6">
      <w:start w:val="1"/>
      <w:numFmt w:val="decimal"/>
      <w:lvlText w:val="%1.%2.%3.%4.%5.%6.%7."/>
      <w:lvlJc w:val="left"/>
      <w:pPr>
        <w:tabs>
          <w:tab w:val="num" w:pos="4036"/>
        </w:tabs>
        <w:ind w:left="2956" w:hanging="1080"/>
      </w:pPr>
      <w:rPr>
        <w:rFonts w:cs="Times New Roman" w:hint="default"/>
      </w:rPr>
    </w:lvl>
    <w:lvl w:ilvl="7">
      <w:start w:val="1"/>
      <w:numFmt w:val="decimal"/>
      <w:lvlText w:val="%1.%2.%3.%4.%5.%6.%7.%8."/>
      <w:lvlJc w:val="left"/>
      <w:pPr>
        <w:tabs>
          <w:tab w:val="num" w:pos="4756"/>
        </w:tabs>
        <w:ind w:left="3460" w:hanging="1224"/>
      </w:pPr>
      <w:rPr>
        <w:rFonts w:cs="Times New Roman" w:hint="default"/>
      </w:rPr>
    </w:lvl>
    <w:lvl w:ilvl="8">
      <w:start w:val="1"/>
      <w:numFmt w:val="decimal"/>
      <w:lvlText w:val="%1.%2.%3.%4.%5.%6.%7.%8.%9."/>
      <w:lvlJc w:val="left"/>
      <w:pPr>
        <w:tabs>
          <w:tab w:val="num" w:pos="5476"/>
        </w:tabs>
        <w:ind w:left="4036" w:hanging="1440"/>
      </w:pPr>
      <w:rPr>
        <w:rFonts w:cs="Times New Roman" w:hint="default"/>
      </w:rPr>
    </w:lvl>
  </w:abstractNum>
  <w:abstractNum w:abstractNumId="9">
    <w:nsid w:val="3F9D19CF"/>
    <w:multiLevelType w:val="hybridMultilevel"/>
    <w:tmpl w:val="92B0DDAE"/>
    <w:lvl w:ilvl="0" w:tplc="2082A4F6">
      <w:start w:val="1"/>
      <w:numFmt w:val="bullet"/>
      <w:lvlText w:val="‐"/>
      <w:lvlJc w:val="left"/>
      <w:pPr>
        <w:ind w:left="1004" w:hanging="360"/>
      </w:pPr>
      <w:rPr>
        <w:rFonts w:ascii="Calibri" w:hAnsi="Calibri"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nsid w:val="427419AB"/>
    <w:multiLevelType w:val="hybridMultilevel"/>
    <w:tmpl w:val="BF3CF956"/>
    <w:lvl w:ilvl="0" w:tplc="04100001">
      <w:start w:val="1"/>
      <w:numFmt w:val="bullet"/>
      <w:lvlText w:val=""/>
      <w:lvlJc w:val="left"/>
      <w:pPr>
        <w:tabs>
          <w:tab w:val="num" w:pos="1050"/>
        </w:tabs>
        <w:ind w:left="1050" w:hanging="360"/>
      </w:pPr>
      <w:rPr>
        <w:rFonts w:ascii="Symbol" w:hAnsi="Symbol" w:hint="default"/>
      </w:rPr>
    </w:lvl>
    <w:lvl w:ilvl="1" w:tplc="04100003" w:tentative="1">
      <w:start w:val="1"/>
      <w:numFmt w:val="bullet"/>
      <w:lvlText w:val="o"/>
      <w:lvlJc w:val="left"/>
      <w:pPr>
        <w:tabs>
          <w:tab w:val="num" w:pos="1770"/>
        </w:tabs>
        <w:ind w:left="1770" w:hanging="360"/>
      </w:pPr>
      <w:rPr>
        <w:rFonts w:ascii="Courier New" w:hAnsi="Courier New" w:hint="default"/>
      </w:rPr>
    </w:lvl>
    <w:lvl w:ilvl="2" w:tplc="04100005" w:tentative="1">
      <w:start w:val="1"/>
      <w:numFmt w:val="bullet"/>
      <w:lvlText w:val=""/>
      <w:lvlJc w:val="left"/>
      <w:pPr>
        <w:tabs>
          <w:tab w:val="num" w:pos="2490"/>
        </w:tabs>
        <w:ind w:left="2490" w:hanging="360"/>
      </w:pPr>
      <w:rPr>
        <w:rFonts w:ascii="Wingdings" w:hAnsi="Wingdings" w:hint="default"/>
      </w:rPr>
    </w:lvl>
    <w:lvl w:ilvl="3" w:tplc="04100001" w:tentative="1">
      <w:start w:val="1"/>
      <w:numFmt w:val="bullet"/>
      <w:lvlText w:val=""/>
      <w:lvlJc w:val="left"/>
      <w:pPr>
        <w:tabs>
          <w:tab w:val="num" w:pos="3210"/>
        </w:tabs>
        <w:ind w:left="3210" w:hanging="360"/>
      </w:pPr>
      <w:rPr>
        <w:rFonts w:ascii="Symbol" w:hAnsi="Symbol" w:hint="default"/>
      </w:rPr>
    </w:lvl>
    <w:lvl w:ilvl="4" w:tplc="04100003" w:tentative="1">
      <w:start w:val="1"/>
      <w:numFmt w:val="bullet"/>
      <w:lvlText w:val="o"/>
      <w:lvlJc w:val="left"/>
      <w:pPr>
        <w:tabs>
          <w:tab w:val="num" w:pos="3930"/>
        </w:tabs>
        <w:ind w:left="3930" w:hanging="360"/>
      </w:pPr>
      <w:rPr>
        <w:rFonts w:ascii="Courier New" w:hAnsi="Courier New" w:hint="default"/>
      </w:rPr>
    </w:lvl>
    <w:lvl w:ilvl="5" w:tplc="04100005" w:tentative="1">
      <w:start w:val="1"/>
      <w:numFmt w:val="bullet"/>
      <w:lvlText w:val=""/>
      <w:lvlJc w:val="left"/>
      <w:pPr>
        <w:tabs>
          <w:tab w:val="num" w:pos="4650"/>
        </w:tabs>
        <w:ind w:left="4650" w:hanging="360"/>
      </w:pPr>
      <w:rPr>
        <w:rFonts w:ascii="Wingdings" w:hAnsi="Wingdings" w:hint="default"/>
      </w:rPr>
    </w:lvl>
    <w:lvl w:ilvl="6" w:tplc="04100001" w:tentative="1">
      <w:start w:val="1"/>
      <w:numFmt w:val="bullet"/>
      <w:lvlText w:val=""/>
      <w:lvlJc w:val="left"/>
      <w:pPr>
        <w:tabs>
          <w:tab w:val="num" w:pos="5370"/>
        </w:tabs>
        <w:ind w:left="5370" w:hanging="360"/>
      </w:pPr>
      <w:rPr>
        <w:rFonts w:ascii="Symbol" w:hAnsi="Symbol" w:hint="default"/>
      </w:rPr>
    </w:lvl>
    <w:lvl w:ilvl="7" w:tplc="04100003" w:tentative="1">
      <w:start w:val="1"/>
      <w:numFmt w:val="bullet"/>
      <w:lvlText w:val="o"/>
      <w:lvlJc w:val="left"/>
      <w:pPr>
        <w:tabs>
          <w:tab w:val="num" w:pos="6090"/>
        </w:tabs>
        <w:ind w:left="6090" w:hanging="360"/>
      </w:pPr>
      <w:rPr>
        <w:rFonts w:ascii="Courier New" w:hAnsi="Courier New" w:hint="default"/>
      </w:rPr>
    </w:lvl>
    <w:lvl w:ilvl="8" w:tplc="04100005" w:tentative="1">
      <w:start w:val="1"/>
      <w:numFmt w:val="bullet"/>
      <w:lvlText w:val=""/>
      <w:lvlJc w:val="left"/>
      <w:pPr>
        <w:tabs>
          <w:tab w:val="num" w:pos="6810"/>
        </w:tabs>
        <w:ind w:left="6810" w:hanging="360"/>
      </w:pPr>
      <w:rPr>
        <w:rFonts w:ascii="Wingdings" w:hAnsi="Wingdings" w:hint="default"/>
      </w:rPr>
    </w:lvl>
  </w:abstractNum>
  <w:abstractNum w:abstractNumId="11">
    <w:nsid w:val="469575A0"/>
    <w:multiLevelType w:val="hybridMultilevel"/>
    <w:tmpl w:val="A4FA83B6"/>
    <w:lvl w:ilvl="0" w:tplc="2082A4F6">
      <w:start w:val="1"/>
      <w:numFmt w:val="bullet"/>
      <w:lvlText w:val="‐"/>
      <w:lvlJc w:val="left"/>
      <w:pPr>
        <w:tabs>
          <w:tab w:val="num" w:pos="720"/>
        </w:tabs>
        <w:ind w:left="720" w:hanging="360"/>
      </w:pPr>
      <w:rPr>
        <w:rFonts w:ascii="Calibri"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46DB1130"/>
    <w:multiLevelType w:val="hybridMultilevel"/>
    <w:tmpl w:val="DEB8B572"/>
    <w:lvl w:ilvl="0" w:tplc="2082A4F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7A8451D"/>
    <w:multiLevelType w:val="hybridMultilevel"/>
    <w:tmpl w:val="6CAED7E0"/>
    <w:lvl w:ilvl="0" w:tplc="0410000F">
      <w:start w:val="1"/>
      <w:numFmt w:val="decimal"/>
      <w:lvlText w:val="%1."/>
      <w:lvlJc w:val="left"/>
      <w:pPr>
        <w:tabs>
          <w:tab w:val="num" w:pos="754"/>
        </w:tabs>
        <w:ind w:left="754" w:hanging="360"/>
      </w:pPr>
      <w:rPr>
        <w:rFonts w:cs="Times New Roman"/>
      </w:rPr>
    </w:lvl>
    <w:lvl w:ilvl="1" w:tplc="04100019" w:tentative="1">
      <w:start w:val="1"/>
      <w:numFmt w:val="lowerLetter"/>
      <w:lvlText w:val="%2."/>
      <w:lvlJc w:val="left"/>
      <w:pPr>
        <w:tabs>
          <w:tab w:val="num" w:pos="1474"/>
        </w:tabs>
        <w:ind w:left="1474" w:hanging="360"/>
      </w:pPr>
      <w:rPr>
        <w:rFonts w:cs="Times New Roman"/>
      </w:rPr>
    </w:lvl>
    <w:lvl w:ilvl="2" w:tplc="0410001B" w:tentative="1">
      <w:start w:val="1"/>
      <w:numFmt w:val="lowerRoman"/>
      <w:lvlText w:val="%3."/>
      <w:lvlJc w:val="right"/>
      <w:pPr>
        <w:tabs>
          <w:tab w:val="num" w:pos="2194"/>
        </w:tabs>
        <w:ind w:left="2194" w:hanging="180"/>
      </w:pPr>
      <w:rPr>
        <w:rFonts w:cs="Times New Roman"/>
      </w:rPr>
    </w:lvl>
    <w:lvl w:ilvl="3" w:tplc="0410000F" w:tentative="1">
      <w:start w:val="1"/>
      <w:numFmt w:val="decimal"/>
      <w:lvlText w:val="%4."/>
      <w:lvlJc w:val="left"/>
      <w:pPr>
        <w:tabs>
          <w:tab w:val="num" w:pos="2914"/>
        </w:tabs>
        <w:ind w:left="2914" w:hanging="360"/>
      </w:pPr>
      <w:rPr>
        <w:rFonts w:cs="Times New Roman"/>
      </w:rPr>
    </w:lvl>
    <w:lvl w:ilvl="4" w:tplc="04100019" w:tentative="1">
      <w:start w:val="1"/>
      <w:numFmt w:val="lowerLetter"/>
      <w:lvlText w:val="%5."/>
      <w:lvlJc w:val="left"/>
      <w:pPr>
        <w:tabs>
          <w:tab w:val="num" w:pos="3634"/>
        </w:tabs>
        <w:ind w:left="3634" w:hanging="360"/>
      </w:pPr>
      <w:rPr>
        <w:rFonts w:cs="Times New Roman"/>
      </w:rPr>
    </w:lvl>
    <w:lvl w:ilvl="5" w:tplc="0410001B" w:tentative="1">
      <w:start w:val="1"/>
      <w:numFmt w:val="lowerRoman"/>
      <w:lvlText w:val="%6."/>
      <w:lvlJc w:val="right"/>
      <w:pPr>
        <w:tabs>
          <w:tab w:val="num" w:pos="4354"/>
        </w:tabs>
        <w:ind w:left="4354" w:hanging="180"/>
      </w:pPr>
      <w:rPr>
        <w:rFonts w:cs="Times New Roman"/>
      </w:rPr>
    </w:lvl>
    <w:lvl w:ilvl="6" w:tplc="0410000F" w:tentative="1">
      <w:start w:val="1"/>
      <w:numFmt w:val="decimal"/>
      <w:lvlText w:val="%7."/>
      <w:lvlJc w:val="left"/>
      <w:pPr>
        <w:tabs>
          <w:tab w:val="num" w:pos="5074"/>
        </w:tabs>
        <w:ind w:left="5074" w:hanging="360"/>
      </w:pPr>
      <w:rPr>
        <w:rFonts w:cs="Times New Roman"/>
      </w:rPr>
    </w:lvl>
    <w:lvl w:ilvl="7" w:tplc="04100019" w:tentative="1">
      <w:start w:val="1"/>
      <w:numFmt w:val="lowerLetter"/>
      <w:lvlText w:val="%8."/>
      <w:lvlJc w:val="left"/>
      <w:pPr>
        <w:tabs>
          <w:tab w:val="num" w:pos="5794"/>
        </w:tabs>
        <w:ind w:left="5794" w:hanging="360"/>
      </w:pPr>
      <w:rPr>
        <w:rFonts w:cs="Times New Roman"/>
      </w:rPr>
    </w:lvl>
    <w:lvl w:ilvl="8" w:tplc="0410001B" w:tentative="1">
      <w:start w:val="1"/>
      <w:numFmt w:val="lowerRoman"/>
      <w:lvlText w:val="%9."/>
      <w:lvlJc w:val="right"/>
      <w:pPr>
        <w:tabs>
          <w:tab w:val="num" w:pos="6514"/>
        </w:tabs>
        <w:ind w:left="6514" w:hanging="180"/>
      </w:pPr>
      <w:rPr>
        <w:rFonts w:cs="Times New Roman"/>
      </w:rPr>
    </w:lvl>
  </w:abstractNum>
  <w:abstractNum w:abstractNumId="14">
    <w:nsid w:val="56912DC4"/>
    <w:multiLevelType w:val="hybridMultilevel"/>
    <w:tmpl w:val="69FC5674"/>
    <w:lvl w:ilvl="0" w:tplc="AA864742">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A0B214A"/>
    <w:multiLevelType w:val="hybridMultilevel"/>
    <w:tmpl w:val="A0BAAAC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6A8C4371"/>
    <w:multiLevelType w:val="hybridMultilevel"/>
    <w:tmpl w:val="ED80D596"/>
    <w:lvl w:ilvl="0" w:tplc="AA864742">
      <w:start w:val="1"/>
      <w:numFmt w:val="bullet"/>
      <w:lvlText w:val="-"/>
      <w:lvlJc w:val="left"/>
      <w:pPr>
        <w:tabs>
          <w:tab w:val="num" w:pos="720"/>
        </w:tabs>
        <w:ind w:left="720" w:hanging="360"/>
      </w:pPr>
      <w:rPr>
        <w:rFonts w:ascii="Calibri"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BF5611B"/>
    <w:multiLevelType w:val="hybridMultilevel"/>
    <w:tmpl w:val="4CF25152"/>
    <w:lvl w:ilvl="0" w:tplc="2082A4F6">
      <w:start w:val="1"/>
      <w:numFmt w:val="bullet"/>
      <w:lvlText w:val="‐"/>
      <w:lvlJc w:val="left"/>
      <w:pPr>
        <w:ind w:left="644" w:hanging="360"/>
      </w:pPr>
      <w:rPr>
        <w:rFonts w:ascii="Calibri" w:hAnsi="Calibri"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8"/>
  </w:num>
  <w:num w:numId="6">
    <w:abstractNumId w:val="5"/>
  </w:num>
  <w:num w:numId="7">
    <w:abstractNumId w:val="15"/>
  </w:num>
  <w:num w:numId="8">
    <w:abstractNumId w:val="4"/>
  </w:num>
  <w:num w:numId="9">
    <w:abstractNumId w:val="16"/>
  </w:num>
  <w:num w:numId="10">
    <w:abstractNumId w:val="14"/>
  </w:num>
  <w:num w:numId="11">
    <w:abstractNumId w:val="7"/>
  </w:num>
  <w:num w:numId="12">
    <w:abstractNumId w:val="11"/>
  </w:num>
  <w:num w:numId="13">
    <w:abstractNumId w:val="9"/>
  </w:num>
  <w:num w:numId="14">
    <w:abstractNumId w:val="3"/>
  </w:num>
  <w:num w:numId="15">
    <w:abstractNumId w:val="6"/>
  </w:num>
  <w:num w:numId="16">
    <w:abstractNumId w:val="17"/>
  </w:num>
  <w:num w:numId="17">
    <w:abstractNumId w:val="12"/>
  </w:num>
  <w:num w:numId="18">
    <w:abstractNumId w:val="10"/>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C4"/>
    <w:rsid w:val="0000054D"/>
    <w:rsid w:val="000017AD"/>
    <w:rsid w:val="0000337E"/>
    <w:rsid w:val="00003A0E"/>
    <w:rsid w:val="00003E99"/>
    <w:rsid w:val="00004338"/>
    <w:rsid w:val="000054B1"/>
    <w:rsid w:val="00005881"/>
    <w:rsid w:val="00006204"/>
    <w:rsid w:val="0000679B"/>
    <w:rsid w:val="000067E2"/>
    <w:rsid w:val="00007599"/>
    <w:rsid w:val="00007C45"/>
    <w:rsid w:val="00011285"/>
    <w:rsid w:val="000118E0"/>
    <w:rsid w:val="0001376F"/>
    <w:rsid w:val="000141D8"/>
    <w:rsid w:val="000141F1"/>
    <w:rsid w:val="000144B3"/>
    <w:rsid w:val="000149AE"/>
    <w:rsid w:val="0001563D"/>
    <w:rsid w:val="00015DB2"/>
    <w:rsid w:val="00016522"/>
    <w:rsid w:val="00017724"/>
    <w:rsid w:val="00020E95"/>
    <w:rsid w:val="00021754"/>
    <w:rsid w:val="000235C5"/>
    <w:rsid w:val="00024306"/>
    <w:rsid w:val="0002470D"/>
    <w:rsid w:val="000248AC"/>
    <w:rsid w:val="00024B36"/>
    <w:rsid w:val="00024D2C"/>
    <w:rsid w:val="00025EB4"/>
    <w:rsid w:val="00031107"/>
    <w:rsid w:val="0003252E"/>
    <w:rsid w:val="000326E4"/>
    <w:rsid w:val="000327A9"/>
    <w:rsid w:val="00032884"/>
    <w:rsid w:val="00033F5E"/>
    <w:rsid w:val="0003403D"/>
    <w:rsid w:val="000344D4"/>
    <w:rsid w:val="00035613"/>
    <w:rsid w:val="000362A9"/>
    <w:rsid w:val="00036502"/>
    <w:rsid w:val="00036B23"/>
    <w:rsid w:val="00036E3D"/>
    <w:rsid w:val="00037ACF"/>
    <w:rsid w:val="00040CEC"/>
    <w:rsid w:val="00041C9B"/>
    <w:rsid w:val="000446F4"/>
    <w:rsid w:val="0004472C"/>
    <w:rsid w:val="00045B17"/>
    <w:rsid w:val="000461C0"/>
    <w:rsid w:val="000500AB"/>
    <w:rsid w:val="0005054C"/>
    <w:rsid w:val="000514A6"/>
    <w:rsid w:val="0005155C"/>
    <w:rsid w:val="00051BA8"/>
    <w:rsid w:val="00052175"/>
    <w:rsid w:val="0005218D"/>
    <w:rsid w:val="00052724"/>
    <w:rsid w:val="00054489"/>
    <w:rsid w:val="00056783"/>
    <w:rsid w:val="00056E1F"/>
    <w:rsid w:val="0006046A"/>
    <w:rsid w:val="00061287"/>
    <w:rsid w:val="00061C76"/>
    <w:rsid w:val="00062C89"/>
    <w:rsid w:val="000637D6"/>
    <w:rsid w:val="0006461F"/>
    <w:rsid w:val="000646ED"/>
    <w:rsid w:val="0006472A"/>
    <w:rsid w:val="00066103"/>
    <w:rsid w:val="00066C03"/>
    <w:rsid w:val="00067747"/>
    <w:rsid w:val="000678EC"/>
    <w:rsid w:val="000721A7"/>
    <w:rsid w:val="00073627"/>
    <w:rsid w:val="00073D24"/>
    <w:rsid w:val="00075655"/>
    <w:rsid w:val="00075AA3"/>
    <w:rsid w:val="00076195"/>
    <w:rsid w:val="0007676E"/>
    <w:rsid w:val="00077924"/>
    <w:rsid w:val="0008087C"/>
    <w:rsid w:val="00081532"/>
    <w:rsid w:val="00082768"/>
    <w:rsid w:val="00082946"/>
    <w:rsid w:val="00084FE6"/>
    <w:rsid w:val="000853C5"/>
    <w:rsid w:val="000857DF"/>
    <w:rsid w:val="000864BB"/>
    <w:rsid w:val="000871EC"/>
    <w:rsid w:val="0009073C"/>
    <w:rsid w:val="00090CB6"/>
    <w:rsid w:val="00092181"/>
    <w:rsid w:val="00092337"/>
    <w:rsid w:val="00092CE2"/>
    <w:rsid w:val="00093C2A"/>
    <w:rsid w:val="00094C43"/>
    <w:rsid w:val="00094CA1"/>
    <w:rsid w:val="000952D7"/>
    <w:rsid w:val="00095DC0"/>
    <w:rsid w:val="00096689"/>
    <w:rsid w:val="00096AAE"/>
    <w:rsid w:val="000A29FC"/>
    <w:rsid w:val="000A3629"/>
    <w:rsid w:val="000A3C59"/>
    <w:rsid w:val="000A3F94"/>
    <w:rsid w:val="000A45AE"/>
    <w:rsid w:val="000A4D17"/>
    <w:rsid w:val="000A7FBD"/>
    <w:rsid w:val="000B0398"/>
    <w:rsid w:val="000B06FA"/>
    <w:rsid w:val="000B195C"/>
    <w:rsid w:val="000B22B0"/>
    <w:rsid w:val="000B3125"/>
    <w:rsid w:val="000B3452"/>
    <w:rsid w:val="000B3544"/>
    <w:rsid w:val="000B45D0"/>
    <w:rsid w:val="000B6006"/>
    <w:rsid w:val="000B638E"/>
    <w:rsid w:val="000B639F"/>
    <w:rsid w:val="000B71A3"/>
    <w:rsid w:val="000B750C"/>
    <w:rsid w:val="000B7C08"/>
    <w:rsid w:val="000C09CE"/>
    <w:rsid w:val="000C13C8"/>
    <w:rsid w:val="000C256B"/>
    <w:rsid w:val="000C2C27"/>
    <w:rsid w:val="000C2F52"/>
    <w:rsid w:val="000C45AA"/>
    <w:rsid w:val="000C58EF"/>
    <w:rsid w:val="000C6186"/>
    <w:rsid w:val="000C6618"/>
    <w:rsid w:val="000D09E2"/>
    <w:rsid w:val="000D0D33"/>
    <w:rsid w:val="000D0EEF"/>
    <w:rsid w:val="000D1095"/>
    <w:rsid w:val="000D16BB"/>
    <w:rsid w:val="000D4C72"/>
    <w:rsid w:val="000D6479"/>
    <w:rsid w:val="000D662D"/>
    <w:rsid w:val="000D7E30"/>
    <w:rsid w:val="000E129F"/>
    <w:rsid w:val="000E1D4D"/>
    <w:rsid w:val="000E1F56"/>
    <w:rsid w:val="000E230D"/>
    <w:rsid w:val="000E2FBD"/>
    <w:rsid w:val="000E4269"/>
    <w:rsid w:val="000E610E"/>
    <w:rsid w:val="000E693E"/>
    <w:rsid w:val="000E6D1E"/>
    <w:rsid w:val="000F0A1E"/>
    <w:rsid w:val="000F0DCB"/>
    <w:rsid w:val="000F1B4B"/>
    <w:rsid w:val="000F2101"/>
    <w:rsid w:val="000F2848"/>
    <w:rsid w:val="000F3A93"/>
    <w:rsid w:val="000F3D74"/>
    <w:rsid w:val="000F58CC"/>
    <w:rsid w:val="000F6239"/>
    <w:rsid w:val="000F623A"/>
    <w:rsid w:val="000F7994"/>
    <w:rsid w:val="00100555"/>
    <w:rsid w:val="00100FEF"/>
    <w:rsid w:val="00101A28"/>
    <w:rsid w:val="00102D50"/>
    <w:rsid w:val="0010353C"/>
    <w:rsid w:val="00103EB1"/>
    <w:rsid w:val="0010416C"/>
    <w:rsid w:val="001043BB"/>
    <w:rsid w:val="00104D18"/>
    <w:rsid w:val="00105323"/>
    <w:rsid w:val="00105436"/>
    <w:rsid w:val="00105B95"/>
    <w:rsid w:val="00105FA8"/>
    <w:rsid w:val="001065CE"/>
    <w:rsid w:val="00106798"/>
    <w:rsid w:val="0010679B"/>
    <w:rsid w:val="00106F2F"/>
    <w:rsid w:val="00107783"/>
    <w:rsid w:val="00107C57"/>
    <w:rsid w:val="001111FA"/>
    <w:rsid w:val="00111351"/>
    <w:rsid w:val="00111507"/>
    <w:rsid w:val="0011213C"/>
    <w:rsid w:val="00113530"/>
    <w:rsid w:val="0011359D"/>
    <w:rsid w:val="00114C7D"/>
    <w:rsid w:val="00115282"/>
    <w:rsid w:val="00115BC4"/>
    <w:rsid w:val="001162C6"/>
    <w:rsid w:val="00116FB4"/>
    <w:rsid w:val="00120029"/>
    <w:rsid w:val="001217B0"/>
    <w:rsid w:val="00121B69"/>
    <w:rsid w:val="001243AF"/>
    <w:rsid w:val="00124967"/>
    <w:rsid w:val="00126C2E"/>
    <w:rsid w:val="00126E76"/>
    <w:rsid w:val="00127C27"/>
    <w:rsid w:val="00130436"/>
    <w:rsid w:val="001321C9"/>
    <w:rsid w:val="00132F29"/>
    <w:rsid w:val="001330F0"/>
    <w:rsid w:val="00133784"/>
    <w:rsid w:val="001338EB"/>
    <w:rsid w:val="00133B56"/>
    <w:rsid w:val="001348ED"/>
    <w:rsid w:val="00135193"/>
    <w:rsid w:val="0013541A"/>
    <w:rsid w:val="001359D9"/>
    <w:rsid w:val="0013611D"/>
    <w:rsid w:val="00136970"/>
    <w:rsid w:val="00137455"/>
    <w:rsid w:val="001375CB"/>
    <w:rsid w:val="0013786D"/>
    <w:rsid w:val="00140BA5"/>
    <w:rsid w:val="001418B2"/>
    <w:rsid w:val="0014320E"/>
    <w:rsid w:val="00144340"/>
    <w:rsid w:val="00144F89"/>
    <w:rsid w:val="00145FE2"/>
    <w:rsid w:val="00146008"/>
    <w:rsid w:val="00150B29"/>
    <w:rsid w:val="00151653"/>
    <w:rsid w:val="00151880"/>
    <w:rsid w:val="00151C56"/>
    <w:rsid w:val="0015229B"/>
    <w:rsid w:val="00152C1C"/>
    <w:rsid w:val="001536CF"/>
    <w:rsid w:val="00153AF2"/>
    <w:rsid w:val="001551D3"/>
    <w:rsid w:val="001565B9"/>
    <w:rsid w:val="001572A0"/>
    <w:rsid w:val="00160324"/>
    <w:rsid w:val="00160A6B"/>
    <w:rsid w:val="00160A7C"/>
    <w:rsid w:val="00161955"/>
    <w:rsid w:val="00162956"/>
    <w:rsid w:val="00163F22"/>
    <w:rsid w:val="001651DD"/>
    <w:rsid w:val="00165543"/>
    <w:rsid w:val="00165DC7"/>
    <w:rsid w:val="00166BCD"/>
    <w:rsid w:val="00166E69"/>
    <w:rsid w:val="0017120F"/>
    <w:rsid w:val="001720EC"/>
    <w:rsid w:val="001726B2"/>
    <w:rsid w:val="00173787"/>
    <w:rsid w:val="001738D1"/>
    <w:rsid w:val="00175392"/>
    <w:rsid w:val="0017542E"/>
    <w:rsid w:val="00175CDC"/>
    <w:rsid w:val="00175DE4"/>
    <w:rsid w:val="00180981"/>
    <w:rsid w:val="00180A8A"/>
    <w:rsid w:val="00180B5B"/>
    <w:rsid w:val="00182F0C"/>
    <w:rsid w:val="001838FE"/>
    <w:rsid w:val="00184623"/>
    <w:rsid w:val="00184D2C"/>
    <w:rsid w:val="0018507A"/>
    <w:rsid w:val="00185442"/>
    <w:rsid w:val="001855FC"/>
    <w:rsid w:val="00187305"/>
    <w:rsid w:val="00190B8B"/>
    <w:rsid w:val="00190E89"/>
    <w:rsid w:val="00191284"/>
    <w:rsid w:val="00193A8E"/>
    <w:rsid w:val="00194652"/>
    <w:rsid w:val="00195665"/>
    <w:rsid w:val="00195F63"/>
    <w:rsid w:val="001974EB"/>
    <w:rsid w:val="00197776"/>
    <w:rsid w:val="00197B7C"/>
    <w:rsid w:val="001A185A"/>
    <w:rsid w:val="001A271A"/>
    <w:rsid w:val="001A32F5"/>
    <w:rsid w:val="001A3517"/>
    <w:rsid w:val="001A37B4"/>
    <w:rsid w:val="001A53C6"/>
    <w:rsid w:val="001A5642"/>
    <w:rsid w:val="001A5CC3"/>
    <w:rsid w:val="001A628B"/>
    <w:rsid w:val="001A6E48"/>
    <w:rsid w:val="001A7B66"/>
    <w:rsid w:val="001B0C03"/>
    <w:rsid w:val="001B12FB"/>
    <w:rsid w:val="001B2159"/>
    <w:rsid w:val="001B2842"/>
    <w:rsid w:val="001B2EDE"/>
    <w:rsid w:val="001B302A"/>
    <w:rsid w:val="001B3AD8"/>
    <w:rsid w:val="001B509E"/>
    <w:rsid w:val="001B514E"/>
    <w:rsid w:val="001B5229"/>
    <w:rsid w:val="001B5330"/>
    <w:rsid w:val="001B5C75"/>
    <w:rsid w:val="001B7471"/>
    <w:rsid w:val="001C1913"/>
    <w:rsid w:val="001C1CBA"/>
    <w:rsid w:val="001C1F0B"/>
    <w:rsid w:val="001C1F69"/>
    <w:rsid w:val="001C41A4"/>
    <w:rsid w:val="001C4BC5"/>
    <w:rsid w:val="001C5C6B"/>
    <w:rsid w:val="001C67FF"/>
    <w:rsid w:val="001C68EC"/>
    <w:rsid w:val="001D0512"/>
    <w:rsid w:val="001D12BA"/>
    <w:rsid w:val="001D1B0E"/>
    <w:rsid w:val="001D1EC7"/>
    <w:rsid w:val="001D298C"/>
    <w:rsid w:val="001D30FD"/>
    <w:rsid w:val="001D4926"/>
    <w:rsid w:val="001D4EFC"/>
    <w:rsid w:val="001D59A0"/>
    <w:rsid w:val="001D5A13"/>
    <w:rsid w:val="001D6D2A"/>
    <w:rsid w:val="001D707B"/>
    <w:rsid w:val="001E0895"/>
    <w:rsid w:val="001E3144"/>
    <w:rsid w:val="001E5B1B"/>
    <w:rsid w:val="001E7254"/>
    <w:rsid w:val="001F10D4"/>
    <w:rsid w:val="001F2071"/>
    <w:rsid w:val="001F30BD"/>
    <w:rsid w:val="001F36F1"/>
    <w:rsid w:val="001F421C"/>
    <w:rsid w:val="001F437C"/>
    <w:rsid w:val="001F4E67"/>
    <w:rsid w:val="001F5B5E"/>
    <w:rsid w:val="001F7F72"/>
    <w:rsid w:val="001F7FC5"/>
    <w:rsid w:val="00200632"/>
    <w:rsid w:val="00203275"/>
    <w:rsid w:val="00204127"/>
    <w:rsid w:val="00206691"/>
    <w:rsid w:val="00207164"/>
    <w:rsid w:val="002073CB"/>
    <w:rsid w:val="002101C1"/>
    <w:rsid w:val="002108D2"/>
    <w:rsid w:val="00210CDC"/>
    <w:rsid w:val="00213C1C"/>
    <w:rsid w:val="00213E0F"/>
    <w:rsid w:val="00214528"/>
    <w:rsid w:val="00214A27"/>
    <w:rsid w:val="0021538F"/>
    <w:rsid w:val="00215C45"/>
    <w:rsid w:val="00215EB8"/>
    <w:rsid w:val="0021648C"/>
    <w:rsid w:val="002167D6"/>
    <w:rsid w:val="00217E76"/>
    <w:rsid w:val="00220015"/>
    <w:rsid w:val="0022130F"/>
    <w:rsid w:val="00222D57"/>
    <w:rsid w:val="0022396D"/>
    <w:rsid w:val="00224ACB"/>
    <w:rsid w:val="002262C5"/>
    <w:rsid w:val="002269D0"/>
    <w:rsid w:val="002307B2"/>
    <w:rsid w:val="00232666"/>
    <w:rsid w:val="00232D4D"/>
    <w:rsid w:val="00234A1F"/>
    <w:rsid w:val="00234AB7"/>
    <w:rsid w:val="00235E37"/>
    <w:rsid w:val="00236AAE"/>
    <w:rsid w:val="002370C0"/>
    <w:rsid w:val="00237C12"/>
    <w:rsid w:val="0024067D"/>
    <w:rsid w:val="0024086C"/>
    <w:rsid w:val="0024286D"/>
    <w:rsid w:val="002428D7"/>
    <w:rsid w:val="00242C42"/>
    <w:rsid w:val="00244049"/>
    <w:rsid w:val="002450B9"/>
    <w:rsid w:val="00246BCD"/>
    <w:rsid w:val="00246C02"/>
    <w:rsid w:val="002500E1"/>
    <w:rsid w:val="00250FAD"/>
    <w:rsid w:val="00251104"/>
    <w:rsid w:val="00251D24"/>
    <w:rsid w:val="002520DB"/>
    <w:rsid w:val="00252A0E"/>
    <w:rsid w:val="002530A7"/>
    <w:rsid w:val="00254AF7"/>
    <w:rsid w:val="00255C89"/>
    <w:rsid w:val="00255D9E"/>
    <w:rsid w:val="002572AB"/>
    <w:rsid w:val="00257442"/>
    <w:rsid w:val="002575CE"/>
    <w:rsid w:val="00260099"/>
    <w:rsid w:val="002615A4"/>
    <w:rsid w:val="002636F5"/>
    <w:rsid w:val="00263EBE"/>
    <w:rsid w:val="00263EFD"/>
    <w:rsid w:val="002653F6"/>
    <w:rsid w:val="0026592A"/>
    <w:rsid w:val="00265D85"/>
    <w:rsid w:val="00267A81"/>
    <w:rsid w:val="00270D44"/>
    <w:rsid w:val="00270D9E"/>
    <w:rsid w:val="0027297A"/>
    <w:rsid w:val="00272DD3"/>
    <w:rsid w:val="00273313"/>
    <w:rsid w:val="002739C9"/>
    <w:rsid w:val="002740AE"/>
    <w:rsid w:val="00274A8D"/>
    <w:rsid w:val="00274D02"/>
    <w:rsid w:val="00275200"/>
    <w:rsid w:val="002762C4"/>
    <w:rsid w:val="00277B54"/>
    <w:rsid w:val="00277DD7"/>
    <w:rsid w:val="00277FA1"/>
    <w:rsid w:val="0028306C"/>
    <w:rsid w:val="002840A1"/>
    <w:rsid w:val="0028519A"/>
    <w:rsid w:val="002860D0"/>
    <w:rsid w:val="00286CE7"/>
    <w:rsid w:val="00286DF9"/>
    <w:rsid w:val="00291B65"/>
    <w:rsid w:val="00292EFB"/>
    <w:rsid w:val="00292FBF"/>
    <w:rsid w:val="0029362E"/>
    <w:rsid w:val="0029397B"/>
    <w:rsid w:val="00294299"/>
    <w:rsid w:val="00294F40"/>
    <w:rsid w:val="00295000"/>
    <w:rsid w:val="00296A1C"/>
    <w:rsid w:val="00296E80"/>
    <w:rsid w:val="00297825"/>
    <w:rsid w:val="002979B2"/>
    <w:rsid w:val="002A019E"/>
    <w:rsid w:val="002A658F"/>
    <w:rsid w:val="002B04CC"/>
    <w:rsid w:val="002B06D6"/>
    <w:rsid w:val="002B18E5"/>
    <w:rsid w:val="002B1FE9"/>
    <w:rsid w:val="002B2969"/>
    <w:rsid w:val="002B414B"/>
    <w:rsid w:val="002B5357"/>
    <w:rsid w:val="002B5867"/>
    <w:rsid w:val="002B7B02"/>
    <w:rsid w:val="002C1F77"/>
    <w:rsid w:val="002C2394"/>
    <w:rsid w:val="002C48DE"/>
    <w:rsid w:val="002C54A4"/>
    <w:rsid w:val="002C59A2"/>
    <w:rsid w:val="002D0300"/>
    <w:rsid w:val="002D1587"/>
    <w:rsid w:val="002D17F1"/>
    <w:rsid w:val="002D37ED"/>
    <w:rsid w:val="002D6AF1"/>
    <w:rsid w:val="002E0303"/>
    <w:rsid w:val="002E34AD"/>
    <w:rsid w:val="002E378A"/>
    <w:rsid w:val="002E4755"/>
    <w:rsid w:val="002E5A62"/>
    <w:rsid w:val="002E60CA"/>
    <w:rsid w:val="002E6A8E"/>
    <w:rsid w:val="002E7068"/>
    <w:rsid w:val="002F03C1"/>
    <w:rsid w:val="002F14CC"/>
    <w:rsid w:val="002F158E"/>
    <w:rsid w:val="002F168F"/>
    <w:rsid w:val="002F1777"/>
    <w:rsid w:val="002F1FFB"/>
    <w:rsid w:val="002F302E"/>
    <w:rsid w:val="002F3A67"/>
    <w:rsid w:val="002F3D71"/>
    <w:rsid w:val="002F3DD5"/>
    <w:rsid w:val="002F42BB"/>
    <w:rsid w:val="002F4F74"/>
    <w:rsid w:val="002F5BCC"/>
    <w:rsid w:val="002F72ED"/>
    <w:rsid w:val="002F7E02"/>
    <w:rsid w:val="00301881"/>
    <w:rsid w:val="00301CE9"/>
    <w:rsid w:val="00302C17"/>
    <w:rsid w:val="003048C0"/>
    <w:rsid w:val="00304C42"/>
    <w:rsid w:val="003058D2"/>
    <w:rsid w:val="00305AD9"/>
    <w:rsid w:val="00305B4E"/>
    <w:rsid w:val="00310D9C"/>
    <w:rsid w:val="00312511"/>
    <w:rsid w:val="003130DF"/>
    <w:rsid w:val="00313E81"/>
    <w:rsid w:val="003141D5"/>
    <w:rsid w:val="00320922"/>
    <w:rsid w:val="00320DB4"/>
    <w:rsid w:val="00321161"/>
    <w:rsid w:val="003211B3"/>
    <w:rsid w:val="003229A6"/>
    <w:rsid w:val="003239ED"/>
    <w:rsid w:val="00323FB0"/>
    <w:rsid w:val="00324FB4"/>
    <w:rsid w:val="00327AE0"/>
    <w:rsid w:val="003320D1"/>
    <w:rsid w:val="003341C5"/>
    <w:rsid w:val="00336D8A"/>
    <w:rsid w:val="00340785"/>
    <w:rsid w:val="00341738"/>
    <w:rsid w:val="00342AD8"/>
    <w:rsid w:val="003439C5"/>
    <w:rsid w:val="00345E2A"/>
    <w:rsid w:val="0034692E"/>
    <w:rsid w:val="00350712"/>
    <w:rsid w:val="003515D3"/>
    <w:rsid w:val="00352258"/>
    <w:rsid w:val="0035423F"/>
    <w:rsid w:val="003542D1"/>
    <w:rsid w:val="0035473C"/>
    <w:rsid w:val="00354753"/>
    <w:rsid w:val="00357BED"/>
    <w:rsid w:val="00360818"/>
    <w:rsid w:val="00360C7F"/>
    <w:rsid w:val="00360DBD"/>
    <w:rsid w:val="0036130B"/>
    <w:rsid w:val="003639B8"/>
    <w:rsid w:val="00364A12"/>
    <w:rsid w:val="00365CFA"/>
    <w:rsid w:val="00366D7A"/>
    <w:rsid w:val="0036700E"/>
    <w:rsid w:val="003673A9"/>
    <w:rsid w:val="00367536"/>
    <w:rsid w:val="00370390"/>
    <w:rsid w:val="00372278"/>
    <w:rsid w:val="00374C3E"/>
    <w:rsid w:val="00374E44"/>
    <w:rsid w:val="00375F5B"/>
    <w:rsid w:val="00376F85"/>
    <w:rsid w:val="00377EF5"/>
    <w:rsid w:val="0038139E"/>
    <w:rsid w:val="003813CF"/>
    <w:rsid w:val="00381E5D"/>
    <w:rsid w:val="00382EA3"/>
    <w:rsid w:val="00383722"/>
    <w:rsid w:val="003842D3"/>
    <w:rsid w:val="00384A69"/>
    <w:rsid w:val="00385745"/>
    <w:rsid w:val="00386AB6"/>
    <w:rsid w:val="00387AE5"/>
    <w:rsid w:val="00387D08"/>
    <w:rsid w:val="003902A7"/>
    <w:rsid w:val="003915BD"/>
    <w:rsid w:val="00392CC2"/>
    <w:rsid w:val="0039352E"/>
    <w:rsid w:val="00395295"/>
    <w:rsid w:val="0039695C"/>
    <w:rsid w:val="00396A0C"/>
    <w:rsid w:val="00397734"/>
    <w:rsid w:val="003977B7"/>
    <w:rsid w:val="003A01F2"/>
    <w:rsid w:val="003A14CF"/>
    <w:rsid w:val="003A1864"/>
    <w:rsid w:val="003A24B4"/>
    <w:rsid w:val="003A31C1"/>
    <w:rsid w:val="003A33F4"/>
    <w:rsid w:val="003A3D1F"/>
    <w:rsid w:val="003A468F"/>
    <w:rsid w:val="003A52B5"/>
    <w:rsid w:val="003A5841"/>
    <w:rsid w:val="003A6453"/>
    <w:rsid w:val="003A6D9B"/>
    <w:rsid w:val="003A6E99"/>
    <w:rsid w:val="003A77FB"/>
    <w:rsid w:val="003A7A9C"/>
    <w:rsid w:val="003A7DBA"/>
    <w:rsid w:val="003A7DD8"/>
    <w:rsid w:val="003B05E7"/>
    <w:rsid w:val="003B07E7"/>
    <w:rsid w:val="003B2369"/>
    <w:rsid w:val="003B4E80"/>
    <w:rsid w:val="003B4F19"/>
    <w:rsid w:val="003B58FC"/>
    <w:rsid w:val="003B632E"/>
    <w:rsid w:val="003B675F"/>
    <w:rsid w:val="003B6E98"/>
    <w:rsid w:val="003C090B"/>
    <w:rsid w:val="003C0D07"/>
    <w:rsid w:val="003C357F"/>
    <w:rsid w:val="003C3D39"/>
    <w:rsid w:val="003C49ED"/>
    <w:rsid w:val="003C53DD"/>
    <w:rsid w:val="003C53EF"/>
    <w:rsid w:val="003C6013"/>
    <w:rsid w:val="003C71FE"/>
    <w:rsid w:val="003C7BA3"/>
    <w:rsid w:val="003D0AAD"/>
    <w:rsid w:val="003D1456"/>
    <w:rsid w:val="003D3151"/>
    <w:rsid w:val="003D32B1"/>
    <w:rsid w:val="003D33DC"/>
    <w:rsid w:val="003D483B"/>
    <w:rsid w:val="003D5C2E"/>
    <w:rsid w:val="003D6104"/>
    <w:rsid w:val="003D614D"/>
    <w:rsid w:val="003D6385"/>
    <w:rsid w:val="003D7190"/>
    <w:rsid w:val="003E0A5A"/>
    <w:rsid w:val="003E103E"/>
    <w:rsid w:val="003E2357"/>
    <w:rsid w:val="003E23F6"/>
    <w:rsid w:val="003E2C71"/>
    <w:rsid w:val="003E3DE2"/>
    <w:rsid w:val="003E5072"/>
    <w:rsid w:val="003E6FB7"/>
    <w:rsid w:val="003F0C8A"/>
    <w:rsid w:val="003F152F"/>
    <w:rsid w:val="003F4671"/>
    <w:rsid w:val="003F4B67"/>
    <w:rsid w:val="003F4F87"/>
    <w:rsid w:val="003F5147"/>
    <w:rsid w:val="003F5483"/>
    <w:rsid w:val="003F5820"/>
    <w:rsid w:val="003F589D"/>
    <w:rsid w:val="003F5E32"/>
    <w:rsid w:val="003F7E3B"/>
    <w:rsid w:val="00400FB0"/>
    <w:rsid w:val="0040269F"/>
    <w:rsid w:val="00403327"/>
    <w:rsid w:val="004045BB"/>
    <w:rsid w:val="004053A7"/>
    <w:rsid w:val="00406218"/>
    <w:rsid w:val="0040645F"/>
    <w:rsid w:val="004071F2"/>
    <w:rsid w:val="004077DD"/>
    <w:rsid w:val="004079E0"/>
    <w:rsid w:val="00410109"/>
    <w:rsid w:val="0041156E"/>
    <w:rsid w:val="0041239A"/>
    <w:rsid w:val="0041271E"/>
    <w:rsid w:val="004132AB"/>
    <w:rsid w:val="004133A6"/>
    <w:rsid w:val="00413D88"/>
    <w:rsid w:val="00413EA2"/>
    <w:rsid w:val="004148D6"/>
    <w:rsid w:val="0041548B"/>
    <w:rsid w:val="00416F86"/>
    <w:rsid w:val="004219BF"/>
    <w:rsid w:val="00422679"/>
    <w:rsid w:val="0042465D"/>
    <w:rsid w:val="004248B1"/>
    <w:rsid w:val="0042498E"/>
    <w:rsid w:val="004253F1"/>
    <w:rsid w:val="0042754F"/>
    <w:rsid w:val="0042785F"/>
    <w:rsid w:val="00427A1C"/>
    <w:rsid w:val="004300C9"/>
    <w:rsid w:val="004308F2"/>
    <w:rsid w:val="00430B2C"/>
    <w:rsid w:val="00430C2E"/>
    <w:rsid w:val="00431675"/>
    <w:rsid w:val="00431721"/>
    <w:rsid w:val="00431F0D"/>
    <w:rsid w:val="00432144"/>
    <w:rsid w:val="004321F5"/>
    <w:rsid w:val="00433588"/>
    <w:rsid w:val="00433AAA"/>
    <w:rsid w:val="00434A9A"/>
    <w:rsid w:val="0043563D"/>
    <w:rsid w:val="00436DFD"/>
    <w:rsid w:val="00437103"/>
    <w:rsid w:val="00437A46"/>
    <w:rsid w:val="004410C2"/>
    <w:rsid w:val="0044121F"/>
    <w:rsid w:val="00441419"/>
    <w:rsid w:val="00442207"/>
    <w:rsid w:val="00442A14"/>
    <w:rsid w:val="00443318"/>
    <w:rsid w:val="0044445A"/>
    <w:rsid w:val="00444556"/>
    <w:rsid w:val="00444E2B"/>
    <w:rsid w:val="00446CA1"/>
    <w:rsid w:val="0044766B"/>
    <w:rsid w:val="004500E1"/>
    <w:rsid w:val="004529D9"/>
    <w:rsid w:val="00452F7A"/>
    <w:rsid w:val="00455866"/>
    <w:rsid w:val="00456ACA"/>
    <w:rsid w:val="00457489"/>
    <w:rsid w:val="0045780C"/>
    <w:rsid w:val="00457E13"/>
    <w:rsid w:val="00457FC2"/>
    <w:rsid w:val="00460081"/>
    <w:rsid w:val="00461C5E"/>
    <w:rsid w:val="00462515"/>
    <w:rsid w:val="004627EB"/>
    <w:rsid w:val="00462B4A"/>
    <w:rsid w:val="00463598"/>
    <w:rsid w:val="0046369F"/>
    <w:rsid w:val="00463FB8"/>
    <w:rsid w:val="0046416E"/>
    <w:rsid w:val="00465D33"/>
    <w:rsid w:val="00465EE8"/>
    <w:rsid w:val="004679A6"/>
    <w:rsid w:val="004714E3"/>
    <w:rsid w:val="00471A2E"/>
    <w:rsid w:val="00471AB6"/>
    <w:rsid w:val="00471DE2"/>
    <w:rsid w:val="00472D2E"/>
    <w:rsid w:val="0047321B"/>
    <w:rsid w:val="00473DEE"/>
    <w:rsid w:val="00475648"/>
    <w:rsid w:val="004757BE"/>
    <w:rsid w:val="0047595C"/>
    <w:rsid w:val="00475E39"/>
    <w:rsid w:val="004778FB"/>
    <w:rsid w:val="00481E2F"/>
    <w:rsid w:val="004825D8"/>
    <w:rsid w:val="00482A6A"/>
    <w:rsid w:val="00483473"/>
    <w:rsid w:val="004836EF"/>
    <w:rsid w:val="004842FE"/>
    <w:rsid w:val="00484E0A"/>
    <w:rsid w:val="00485001"/>
    <w:rsid w:val="00485777"/>
    <w:rsid w:val="00485EF1"/>
    <w:rsid w:val="004861E3"/>
    <w:rsid w:val="00490304"/>
    <w:rsid w:val="0049189A"/>
    <w:rsid w:val="00492197"/>
    <w:rsid w:val="0049239E"/>
    <w:rsid w:val="00492C6B"/>
    <w:rsid w:val="00493142"/>
    <w:rsid w:val="004938B9"/>
    <w:rsid w:val="00494A19"/>
    <w:rsid w:val="004956C1"/>
    <w:rsid w:val="00495F2B"/>
    <w:rsid w:val="00496E5E"/>
    <w:rsid w:val="004971D2"/>
    <w:rsid w:val="004975A2"/>
    <w:rsid w:val="00497B2D"/>
    <w:rsid w:val="00497C51"/>
    <w:rsid w:val="00497E4D"/>
    <w:rsid w:val="004A0273"/>
    <w:rsid w:val="004A059A"/>
    <w:rsid w:val="004A0DCA"/>
    <w:rsid w:val="004A3F83"/>
    <w:rsid w:val="004A6C35"/>
    <w:rsid w:val="004B0D72"/>
    <w:rsid w:val="004B0E6F"/>
    <w:rsid w:val="004B13FC"/>
    <w:rsid w:val="004B2D10"/>
    <w:rsid w:val="004B4618"/>
    <w:rsid w:val="004B46BB"/>
    <w:rsid w:val="004B49B9"/>
    <w:rsid w:val="004B5018"/>
    <w:rsid w:val="004B55AA"/>
    <w:rsid w:val="004B5D51"/>
    <w:rsid w:val="004B668C"/>
    <w:rsid w:val="004B6ADC"/>
    <w:rsid w:val="004C020F"/>
    <w:rsid w:val="004C116E"/>
    <w:rsid w:val="004C126B"/>
    <w:rsid w:val="004C1499"/>
    <w:rsid w:val="004C1C04"/>
    <w:rsid w:val="004C27F2"/>
    <w:rsid w:val="004C3721"/>
    <w:rsid w:val="004C3DBD"/>
    <w:rsid w:val="004C3E6C"/>
    <w:rsid w:val="004C453B"/>
    <w:rsid w:val="004C60FF"/>
    <w:rsid w:val="004C6910"/>
    <w:rsid w:val="004C70B6"/>
    <w:rsid w:val="004C7337"/>
    <w:rsid w:val="004D08BB"/>
    <w:rsid w:val="004D0FF5"/>
    <w:rsid w:val="004D31D8"/>
    <w:rsid w:val="004D3B1B"/>
    <w:rsid w:val="004D4960"/>
    <w:rsid w:val="004D4FA1"/>
    <w:rsid w:val="004D5B24"/>
    <w:rsid w:val="004D5C18"/>
    <w:rsid w:val="004D644E"/>
    <w:rsid w:val="004D77B3"/>
    <w:rsid w:val="004E02B8"/>
    <w:rsid w:val="004E0A66"/>
    <w:rsid w:val="004E0D2B"/>
    <w:rsid w:val="004E19C5"/>
    <w:rsid w:val="004E2FE5"/>
    <w:rsid w:val="004E32DC"/>
    <w:rsid w:val="004E3393"/>
    <w:rsid w:val="004E345F"/>
    <w:rsid w:val="004E4C48"/>
    <w:rsid w:val="004E677A"/>
    <w:rsid w:val="004E68E0"/>
    <w:rsid w:val="004E70ED"/>
    <w:rsid w:val="004E768A"/>
    <w:rsid w:val="004F0617"/>
    <w:rsid w:val="004F0823"/>
    <w:rsid w:val="004F1C56"/>
    <w:rsid w:val="004F2219"/>
    <w:rsid w:val="004F221D"/>
    <w:rsid w:val="004F2D17"/>
    <w:rsid w:val="004F3323"/>
    <w:rsid w:val="004F38DB"/>
    <w:rsid w:val="004F3A44"/>
    <w:rsid w:val="004F4381"/>
    <w:rsid w:val="004F47DE"/>
    <w:rsid w:val="004F63B4"/>
    <w:rsid w:val="004F6BF4"/>
    <w:rsid w:val="004F7547"/>
    <w:rsid w:val="0050016F"/>
    <w:rsid w:val="00500280"/>
    <w:rsid w:val="00502624"/>
    <w:rsid w:val="005028BE"/>
    <w:rsid w:val="00503295"/>
    <w:rsid w:val="00503412"/>
    <w:rsid w:val="00503DA3"/>
    <w:rsid w:val="005064F8"/>
    <w:rsid w:val="00506557"/>
    <w:rsid w:val="005077A9"/>
    <w:rsid w:val="005101AB"/>
    <w:rsid w:val="005105FD"/>
    <w:rsid w:val="00510655"/>
    <w:rsid w:val="005108DD"/>
    <w:rsid w:val="00510D53"/>
    <w:rsid w:val="00511D16"/>
    <w:rsid w:val="005122E1"/>
    <w:rsid w:val="0051290E"/>
    <w:rsid w:val="005161A0"/>
    <w:rsid w:val="005163FF"/>
    <w:rsid w:val="00516ACD"/>
    <w:rsid w:val="00517898"/>
    <w:rsid w:val="00520609"/>
    <w:rsid w:val="00520FEC"/>
    <w:rsid w:val="0052242F"/>
    <w:rsid w:val="00522779"/>
    <w:rsid w:val="00522A0F"/>
    <w:rsid w:val="0052367A"/>
    <w:rsid w:val="0052560A"/>
    <w:rsid w:val="0052589D"/>
    <w:rsid w:val="005311D1"/>
    <w:rsid w:val="00531E72"/>
    <w:rsid w:val="005337C0"/>
    <w:rsid w:val="00533D26"/>
    <w:rsid w:val="005351BB"/>
    <w:rsid w:val="00537829"/>
    <w:rsid w:val="0054122B"/>
    <w:rsid w:val="00542488"/>
    <w:rsid w:val="005424F3"/>
    <w:rsid w:val="005434BC"/>
    <w:rsid w:val="0054463F"/>
    <w:rsid w:val="00544735"/>
    <w:rsid w:val="00545287"/>
    <w:rsid w:val="00545ECC"/>
    <w:rsid w:val="005474B9"/>
    <w:rsid w:val="00550040"/>
    <w:rsid w:val="00550850"/>
    <w:rsid w:val="005512CB"/>
    <w:rsid w:val="00552B23"/>
    <w:rsid w:val="005532BE"/>
    <w:rsid w:val="00553B0F"/>
    <w:rsid w:val="00554337"/>
    <w:rsid w:val="0055498D"/>
    <w:rsid w:val="00554B85"/>
    <w:rsid w:val="00554E88"/>
    <w:rsid w:val="00555A08"/>
    <w:rsid w:val="005567E0"/>
    <w:rsid w:val="00557FB1"/>
    <w:rsid w:val="00557FEB"/>
    <w:rsid w:val="005608B2"/>
    <w:rsid w:val="00560913"/>
    <w:rsid w:val="00561176"/>
    <w:rsid w:val="0056235B"/>
    <w:rsid w:val="005640DE"/>
    <w:rsid w:val="005641EB"/>
    <w:rsid w:val="0056448A"/>
    <w:rsid w:val="005655D7"/>
    <w:rsid w:val="00566329"/>
    <w:rsid w:val="00567680"/>
    <w:rsid w:val="00571CC9"/>
    <w:rsid w:val="00571E14"/>
    <w:rsid w:val="00572378"/>
    <w:rsid w:val="00572904"/>
    <w:rsid w:val="00573630"/>
    <w:rsid w:val="0057540F"/>
    <w:rsid w:val="0058001F"/>
    <w:rsid w:val="00581681"/>
    <w:rsid w:val="00581FA3"/>
    <w:rsid w:val="005822F4"/>
    <w:rsid w:val="00582745"/>
    <w:rsid w:val="005827B9"/>
    <w:rsid w:val="005841D8"/>
    <w:rsid w:val="00584C5A"/>
    <w:rsid w:val="005851E3"/>
    <w:rsid w:val="005852AA"/>
    <w:rsid w:val="00586F4A"/>
    <w:rsid w:val="00587431"/>
    <w:rsid w:val="00590B2A"/>
    <w:rsid w:val="00591549"/>
    <w:rsid w:val="00592A92"/>
    <w:rsid w:val="00593674"/>
    <w:rsid w:val="00594241"/>
    <w:rsid w:val="005972A1"/>
    <w:rsid w:val="005A0B55"/>
    <w:rsid w:val="005A0C1D"/>
    <w:rsid w:val="005A1FDB"/>
    <w:rsid w:val="005A25C7"/>
    <w:rsid w:val="005A26AE"/>
    <w:rsid w:val="005A26B1"/>
    <w:rsid w:val="005A5291"/>
    <w:rsid w:val="005A689E"/>
    <w:rsid w:val="005A6D07"/>
    <w:rsid w:val="005B1601"/>
    <w:rsid w:val="005B1F01"/>
    <w:rsid w:val="005B3977"/>
    <w:rsid w:val="005B397D"/>
    <w:rsid w:val="005B3BE6"/>
    <w:rsid w:val="005B4CD6"/>
    <w:rsid w:val="005B5236"/>
    <w:rsid w:val="005B5332"/>
    <w:rsid w:val="005B6A04"/>
    <w:rsid w:val="005B7B68"/>
    <w:rsid w:val="005B7F2D"/>
    <w:rsid w:val="005C0BBF"/>
    <w:rsid w:val="005C1374"/>
    <w:rsid w:val="005C1644"/>
    <w:rsid w:val="005C1A4B"/>
    <w:rsid w:val="005C2E74"/>
    <w:rsid w:val="005C334A"/>
    <w:rsid w:val="005C5213"/>
    <w:rsid w:val="005C5DA3"/>
    <w:rsid w:val="005C60CE"/>
    <w:rsid w:val="005C7CB1"/>
    <w:rsid w:val="005D0085"/>
    <w:rsid w:val="005D05C3"/>
    <w:rsid w:val="005D1221"/>
    <w:rsid w:val="005D233C"/>
    <w:rsid w:val="005D23F8"/>
    <w:rsid w:val="005D4D37"/>
    <w:rsid w:val="005D5907"/>
    <w:rsid w:val="005D7BDD"/>
    <w:rsid w:val="005D7F3D"/>
    <w:rsid w:val="005E1D17"/>
    <w:rsid w:val="005E22ED"/>
    <w:rsid w:val="005E3218"/>
    <w:rsid w:val="005E3C00"/>
    <w:rsid w:val="005E3EF8"/>
    <w:rsid w:val="005E42AC"/>
    <w:rsid w:val="005E4C9E"/>
    <w:rsid w:val="005E7723"/>
    <w:rsid w:val="005E795B"/>
    <w:rsid w:val="005E7AAE"/>
    <w:rsid w:val="005F06F2"/>
    <w:rsid w:val="005F1A32"/>
    <w:rsid w:val="005F1B32"/>
    <w:rsid w:val="005F2309"/>
    <w:rsid w:val="005F2E43"/>
    <w:rsid w:val="005F41F7"/>
    <w:rsid w:val="005F5302"/>
    <w:rsid w:val="005F54D7"/>
    <w:rsid w:val="005F5533"/>
    <w:rsid w:val="005F6788"/>
    <w:rsid w:val="005F6EAF"/>
    <w:rsid w:val="005F7D1F"/>
    <w:rsid w:val="0060017C"/>
    <w:rsid w:val="0060153F"/>
    <w:rsid w:val="00601735"/>
    <w:rsid w:val="00601FAA"/>
    <w:rsid w:val="00602F03"/>
    <w:rsid w:val="006030E4"/>
    <w:rsid w:val="00603617"/>
    <w:rsid w:val="0060390D"/>
    <w:rsid w:val="00604A03"/>
    <w:rsid w:val="00605E83"/>
    <w:rsid w:val="006064E4"/>
    <w:rsid w:val="006079BE"/>
    <w:rsid w:val="00611002"/>
    <w:rsid w:val="006125F1"/>
    <w:rsid w:val="00617140"/>
    <w:rsid w:val="0061746E"/>
    <w:rsid w:val="00620C51"/>
    <w:rsid w:val="00621908"/>
    <w:rsid w:val="006222CA"/>
    <w:rsid w:val="00622814"/>
    <w:rsid w:val="00624139"/>
    <w:rsid w:val="00624F36"/>
    <w:rsid w:val="006255DA"/>
    <w:rsid w:val="00625F8E"/>
    <w:rsid w:val="00626297"/>
    <w:rsid w:val="0062704D"/>
    <w:rsid w:val="0062725D"/>
    <w:rsid w:val="00627BC7"/>
    <w:rsid w:val="00627FC7"/>
    <w:rsid w:val="00630041"/>
    <w:rsid w:val="00631345"/>
    <w:rsid w:val="0063291A"/>
    <w:rsid w:val="00633091"/>
    <w:rsid w:val="00633760"/>
    <w:rsid w:val="0063383B"/>
    <w:rsid w:val="00633BC3"/>
    <w:rsid w:val="006362CE"/>
    <w:rsid w:val="00637FB1"/>
    <w:rsid w:val="00641216"/>
    <w:rsid w:val="00641AFE"/>
    <w:rsid w:val="00641F42"/>
    <w:rsid w:val="006421AD"/>
    <w:rsid w:val="00642703"/>
    <w:rsid w:val="0064318D"/>
    <w:rsid w:val="00644AD5"/>
    <w:rsid w:val="006507B3"/>
    <w:rsid w:val="00650970"/>
    <w:rsid w:val="006515D7"/>
    <w:rsid w:val="00652399"/>
    <w:rsid w:val="006528B2"/>
    <w:rsid w:val="00652A9E"/>
    <w:rsid w:val="00652DC0"/>
    <w:rsid w:val="0065458D"/>
    <w:rsid w:val="0065526F"/>
    <w:rsid w:val="0065621D"/>
    <w:rsid w:val="00656DA8"/>
    <w:rsid w:val="00657C74"/>
    <w:rsid w:val="0066128A"/>
    <w:rsid w:val="006615C6"/>
    <w:rsid w:val="00661806"/>
    <w:rsid w:val="0066200F"/>
    <w:rsid w:val="00662541"/>
    <w:rsid w:val="00662CFF"/>
    <w:rsid w:val="00663E1A"/>
    <w:rsid w:val="00665B9A"/>
    <w:rsid w:val="00665C93"/>
    <w:rsid w:val="00665E11"/>
    <w:rsid w:val="00666A8A"/>
    <w:rsid w:val="00666FB4"/>
    <w:rsid w:val="006673ED"/>
    <w:rsid w:val="00667401"/>
    <w:rsid w:val="00667B5B"/>
    <w:rsid w:val="00670248"/>
    <w:rsid w:val="00670C5E"/>
    <w:rsid w:val="0067111E"/>
    <w:rsid w:val="006717D9"/>
    <w:rsid w:val="00674D69"/>
    <w:rsid w:val="00674FAE"/>
    <w:rsid w:val="00677843"/>
    <w:rsid w:val="006802DE"/>
    <w:rsid w:val="006804CA"/>
    <w:rsid w:val="006808E9"/>
    <w:rsid w:val="0068184E"/>
    <w:rsid w:val="00681B3D"/>
    <w:rsid w:val="00682B55"/>
    <w:rsid w:val="00683196"/>
    <w:rsid w:val="00683E70"/>
    <w:rsid w:val="006849A4"/>
    <w:rsid w:val="00686703"/>
    <w:rsid w:val="006871E7"/>
    <w:rsid w:val="00687DD4"/>
    <w:rsid w:val="00690BB3"/>
    <w:rsid w:val="00690E50"/>
    <w:rsid w:val="00690E95"/>
    <w:rsid w:val="00690F38"/>
    <w:rsid w:val="00690FBE"/>
    <w:rsid w:val="00692C90"/>
    <w:rsid w:val="00693614"/>
    <w:rsid w:val="00693819"/>
    <w:rsid w:val="006941BF"/>
    <w:rsid w:val="0069455B"/>
    <w:rsid w:val="006952A8"/>
    <w:rsid w:val="006954F4"/>
    <w:rsid w:val="00696A27"/>
    <w:rsid w:val="00696B41"/>
    <w:rsid w:val="0069758C"/>
    <w:rsid w:val="006A0AFD"/>
    <w:rsid w:val="006A1AB1"/>
    <w:rsid w:val="006A1B89"/>
    <w:rsid w:val="006A2B65"/>
    <w:rsid w:val="006A3040"/>
    <w:rsid w:val="006A34E4"/>
    <w:rsid w:val="006A41D8"/>
    <w:rsid w:val="006A4832"/>
    <w:rsid w:val="006A4E8F"/>
    <w:rsid w:val="006A57D7"/>
    <w:rsid w:val="006A5CBA"/>
    <w:rsid w:val="006A6FFC"/>
    <w:rsid w:val="006B185C"/>
    <w:rsid w:val="006B286B"/>
    <w:rsid w:val="006B33F1"/>
    <w:rsid w:val="006B3B96"/>
    <w:rsid w:val="006B47F7"/>
    <w:rsid w:val="006B6212"/>
    <w:rsid w:val="006B63C3"/>
    <w:rsid w:val="006B68A7"/>
    <w:rsid w:val="006B772F"/>
    <w:rsid w:val="006C02FC"/>
    <w:rsid w:val="006C0A21"/>
    <w:rsid w:val="006C0EB7"/>
    <w:rsid w:val="006C1752"/>
    <w:rsid w:val="006C1909"/>
    <w:rsid w:val="006C4754"/>
    <w:rsid w:val="006C4EBB"/>
    <w:rsid w:val="006C56DA"/>
    <w:rsid w:val="006C6792"/>
    <w:rsid w:val="006C6C6F"/>
    <w:rsid w:val="006C70A8"/>
    <w:rsid w:val="006D07BB"/>
    <w:rsid w:val="006D0833"/>
    <w:rsid w:val="006D0FE2"/>
    <w:rsid w:val="006D1014"/>
    <w:rsid w:val="006D2862"/>
    <w:rsid w:val="006D2D4A"/>
    <w:rsid w:val="006D3304"/>
    <w:rsid w:val="006D378C"/>
    <w:rsid w:val="006D3EA9"/>
    <w:rsid w:val="006D5393"/>
    <w:rsid w:val="006D5BF8"/>
    <w:rsid w:val="006D7FC9"/>
    <w:rsid w:val="006E0E7D"/>
    <w:rsid w:val="006E1A34"/>
    <w:rsid w:val="006E2319"/>
    <w:rsid w:val="006E2AA1"/>
    <w:rsid w:val="006E317E"/>
    <w:rsid w:val="006E3425"/>
    <w:rsid w:val="006E3D5E"/>
    <w:rsid w:val="006E6E3E"/>
    <w:rsid w:val="006E71AB"/>
    <w:rsid w:val="006E7970"/>
    <w:rsid w:val="006F035B"/>
    <w:rsid w:val="006F0566"/>
    <w:rsid w:val="006F0DBF"/>
    <w:rsid w:val="006F165D"/>
    <w:rsid w:val="006F1677"/>
    <w:rsid w:val="006F4583"/>
    <w:rsid w:val="006F5ABB"/>
    <w:rsid w:val="006F6E3F"/>
    <w:rsid w:val="00700A59"/>
    <w:rsid w:val="00701E27"/>
    <w:rsid w:val="00703C17"/>
    <w:rsid w:val="00705C48"/>
    <w:rsid w:val="00706E69"/>
    <w:rsid w:val="00706F80"/>
    <w:rsid w:val="0071076E"/>
    <w:rsid w:val="00712EB2"/>
    <w:rsid w:val="0071574E"/>
    <w:rsid w:val="00716F36"/>
    <w:rsid w:val="00720157"/>
    <w:rsid w:val="00720391"/>
    <w:rsid w:val="00720AE6"/>
    <w:rsid w:val="00720D32"/>
    <w:rsid w:val="00720D9A"/>
    <w:rsid w:val="00720E99"/>
    <w:rsid w:val="00721233"/>
    <w:rsid w:val="007218BA"/>
    <w:rsid w:val="00722A18"/>
    <w:rsid w:val="00723688"/>
    <w:rsid w:val="007241D1"/>
    <w:rsid w:val="007247B2"/>
    <w:rsid w:val="00724ABF"/>
    <w:rsid w:val="00724E1F"/>
    <w:rsid w:val="00725643"/>
    <w:rsid w:val="00726AE5"/>
    <w:rsid w:val="0073037B"/>
    <w:rsid w:val="007312C0"/>
    <w:rsid w:val="007316F6"/>
    <w:rsid w:val="00731EBB"/>
    <w:rsid w:val="0073217D"/>
    <w:rsid w:val="00732745"/>
    <w:rsid w:val="007328A2"/>
    <w:rsid w:val="007328F2"/>
    <w:rsid w:val="007330F5"/>
    <w:rsid w:val="0073314A"/>
    <w:rsid w:val="00733539"/>
    <w:rsid w:val="00733763"/>
    <w:rsid w:val="00733AA2"/>
    <w:rsid w:val="00734401"/>
    <w:rsid w:val="00735733"/>
    <w:rsid w:val="00737362"/>
    <w:rsid w:val="0074030E"/>
    <w:rsid w:val="0074097C"/>
    <w:rsid w:val="00741BE8"/>
    <w:rsid w:val="00743A5F"/>
    <w:rsid w:val="007442F4"/>
    <w:rsid w:val="0074746F"/>
    <w:rsid w:val="00750006"/>
    <w:rsid w:val="00750181"/>
    <w:rsid w:val="007508AF"/>
    <w:rsid w:val="00750DDB"/>
    <w:rsid w:val="00752B5B"/>
    <w:rsid w:val="00753746"/>
    <w:rsid w:val="007540D0"/>
    <w:rsid w:val="00755E24"/>
    <w:rsid w:val="0075637F"/>
    <w:rsid w:val="00756FE9"/>
    <w:rsid w:val="0075712F"/>
    <w:rsid w:val="0075745B"/>
    <w:rsid w:val="00757A35"/>
    <w:rsid w:val="00760363"/>
    <w:rsid w:val="00761108"/>
    <w:rsid w:val="00761488"/>
    <w:rsid w:val="007631B7"/>
    <w:rsid w:val="007633DE"/>
    <w:rsid w:val="007634DA"/>
    <w:rsid w:val="00763A7C"/>
    <w:rsid w:val="00763BCF"/>
    <w:rsid w:val="00764392"/>
    <w:rsid w:val="00764B98"/>
    <w:rsid w:val="00770179"/>
    <w:rsid w:val="007712D6"/>
    <w:rsid w:val="00771870"/>
    <w:rsid w:val="00772844"/>
    <w:rsid w:val="00772D2F"/>
    <w:rsid w:val="007741B5"/>
    <w:rsid w:val="007774A4"/>
    <w:rsid w:val="007774BC"/>
    <w:rsid w:val="0077750B"/>
    <w:rsid w:val="00777512"/>
    <w:rsid w:val="0078068C"/>
    <w:rsid w:val="0078179B"/>
    <w:rsid w:val="00781C5E"/>
    <w:rsid w:val="007820B3"/>
    <w:rsid w:val="007824E6"/>
    <w:rsid w:val="007826D1"/>
    <w:rsid w:val="00782BF7"/>
    <w:rsid w:val="00783C28"/>
    <w:rsid w:val="00785110"/>
    <w:rsid w:val="007906BE"/>
    <w:rsid w:val="00791C1F"/>
    <w:rsid w:val="00792A65"/>
    <w:rsid w:val="0079340C"/>
    <w:rsid w:val="00793AA3"/>
    <w:rsid w:val="0079489E"/>
    <w:rsid w:val="00794D11"/>
    <w:rsid w:val="00795039"/>
    <w:rsid w:val="00796DCC"/>
    <w:rsid w:val="0079728E"/>
    <w:rsid w:val="00797DEE"/>
    <w:rsid w:val="007A0B67"/>
    <w:rsid w:val="007A1799"/>
    <w:rsid w:val="007A41C5"/>
    <w:rsid w:val="007A4318"/>
    <w:rsid w:val="007A521B"/>
    <w:rsid w:val="007A5457"/>
    <w:rsid w:val="007A655C"/>
    <w:rsid w:val="007A7395"/>
    <w:rsid w:val="007A7BCD"/>
    <w:rsid w:val="007B0A6C"/>
    <w:rsid w:val="007B0DA9"/>
    <w:rsid w:val="007B1BE6"/>
    <w:rsid w:val="007B23C0"/>
    <w:rsid w:val="007B245D"/>
    <w:rsid w:val="007B33E3"/>
    <w:rsid w:val="007B3832"/>
    <w:rsid w:val="007B39B8"/>
    <w:rsid w:val="007B4809"/>
    <w:rsid w:val="007C0288"/>
    <w:rsid w:val="007C060B"/>
    <w:rsid w:val="007C17C7"/>
    <w:rsid w:val="007C22FD"/>
    <w:rsid w:val="007C2452"/>
    <w:rsid w:val="007C28B4"/>
    <w:rsid w:val="007C567C"/>
    <w:rsid w:val="007C5C56"/>
    <w:rsid w:val="007C7920"/>
    <w:rsid w:val="007C7D74"/>
    <w:rsid w:val="007D0387"/>
    <w:rsid w:val="007D1716"/>
    <w:rsid w:val="007D2116"/>
    <w:rsid w:val="007D25D9"/>
    <w:rsid w:val="007D2B70"/>
    <w:rsid w:val="007D67DD"/>
    <w:rsid w:val="007D7646"/>
    <w:rsid w:val="007E04A6"/>
    <w:rsid w:val="007E0A69"/>
    <w:rsid w:val="007E1B08"/>
    <w:rsid w:val="007E28AE"/>
    <w:rsid w:val="007E2E86"/>
    <w:rsid w:val="007E304A"/>
    <w:rsid w:val="007E4B3A"/>
    <w:rsid w:val="007E4F95"/>
    <w:rsid w:val="007E5E18"/>
    <w:rsid w:val="007E69D2"/>
    <w:rsid w:val="007E7708"/>
    <w:rsid w:val="007E79AA"/>
    <w:rsid w:val="007E7A21"/>
    <w:rsid w:val="007F0075"/>
    <w:rsid w:val="007F0F01"/>
    <w:rsid w:val="007F137C"/>
    <w:rsid w:val="007F15D0"/>
    <w:rsid w:val="007F1BFA"/>
    <w:rsid w:val="007F2A34"/>
    <w:rsid w:val="007F314D"/>
    <w:rsid w:val="007F4699"/>
    <w:rsid w:val="007F52D7"/>
    <w:rsid w:val="007F63E0"/>
    <w:rsid w:val="007F6985"/>
    <w:rsid w:val="007F6A14"/>
    <w:rsid w:val="007F6C11"/>
    <w:rsid w:val="007F7013"/>
    <w:rsid w:val="007F7513"/>
    <w:rsid w:val="007F7578"/>
    <w:rsid w:val="007F79AC"/>
    <w:rsid w:val="007F7FB1"/>
    <w:rsid w:val="00800CAF"/>
    <w:rsid w:val="00800EC3"/>
    <w:rsid w:val="00801C7F"/>
    <w:rsid w:val="00802301"/>
    <w:rsid w:val="008023CE"/>
    <w:rsid w:val="00803D25"/>
    <w:rsid w:val="008046AF"/>
    <w:rsid w:val="0080474F"/>
    <w:rsid w:val="00804D4F"/>
    <w:rsid w:val="00806406"/>
    <w:rsid w:val="008078DB"/>
    <w:rsid w:val="0081050A"/>
    <w:rsid w:val="008112CA"/>
    <w:rsid w:val="00812D71"/>
    <w:rsid w:val="00813DB6"/>
    <w:rsid w:val="00813FB4"/>
    <w:rsid w:val="00813FD2"/>
    <w:rsid w:val="008142B6"/>
    <w:rsid w:val="00815147"/>
    <w:rsid w:val="00815AE3"/>
    <w:rsid w:val="0081621F"/>
    <w:rsid w:val="00816C93"/>
    <w:rsid w:val="0081794D"/>
    <w:rsid w:val="00820DFA"/>
    <w:rsid w:val="008229F6"/>
    <w:rsid w:val="00822E40"/>
    <w:rsid w:val="00824B7E"/>
    <w:rsid w:val="00824CB4"/>
    <w:rsid w:val="00825AEB"/>
    <w:rsid w:val="008260DC"/>
    <w:rsid w:val="0082635F"/>
    <w:rsid w:val="00826978"/>
    <w:rsid w:val="00827C11"/>
    <w:rsid w:val="00827D9D"/>
    <w:rsid w:val="00827FAB"/>
    <w:rsid w:val="008300C4"/>
    <w:rsid w:val="0083072B"/>
    <w:rsid w:val="00830DFE"/>
    <w:rsid w:val="0083129B"/>
    <w:rsid w:val="00831CA4"/>
    <w:rsid w:val="00831F3E"/>
    <w:rsid w:val="00832EF2"/>
    <w:rsid w:val="00833094"/>
    <w:rsid w:val="00833475"/>
    <w:rsid w:val="00833977"/>
    <w:rsid w:val="00833B49"/>
    <w:rsid w:val="00835A23"/>
    <w:rsid w:val="00835C07"/>
    <w:rsid w:val="008404BD"/>
    <w:rsid w:val="008406C0"/>
    <w:rsid w:val="008410A9"/>
    <w:rsid w:val="008415C4"/>
    <w:rsid w:val="00841E5A"/>
    <w:rsid w:val="00842BDC"/>
    <w:rsid w:val="00844D30"/>
    <w:rsid w:val="00845820"/>
    <w:rsid w:val="00845D21"/>
    <w:rsid w:val="0084664B"/>
    <w:rsid w:val="00847781"/>
    <w:rsid w:val="008477EC"/>
    <w:rsid w:val="00847F52"/>
    <w:rsid w:val="008511EA"/>
    <w:rsid w:val="008513E5"/>
    <w:rsid w:val="008520FF"/>
    <w:rsid w:val="008534C2"/>
    <w:rsid w:val="00853619"/>
    <w:rsid w:val="008550FD"/>
    <w:rsid w:val="00855194"/>
    <w:rsid w:val="0085651C"/>
    <w:rsid w:val="00857666"/>
    <w:rsid w:val="0086120A"/>
    <w:rsid w:val="00864970"/>
    <w:rsid w:val="00864D65"/>
    <w:rsid w:val="00864EF3"/>
    <w:rsid w:val="00865669"/>
    <w:rsid w:val="00865AE4"/>
    <w:rsid w:val="0086667D"/>
    <w:rsid w:val="00866C7A"/>
    <w:rsid w:val="00867D4C"/>
    <w:rsid w:val="00870586"/>
    <w:rsid w:val="008705B7"/>
    <w:rsid w:val="00872835"/>
    <w:rsid w:val="0087329B"/>
    <w:rsid w:val="0087359C"/>
    <w:rsid w:val="008743E7"/>
    <w:rsid w:val="00874724"/>
    <w:rsid w:val="00874893"/>
    <w:rsid w:val="00876FF3"/>
    <w:rsid w:val="0087785D"/>
    <w:rsid w:val="0088026D"/>
    <w:rsid w:val="00880840"/>
    <w:rsid w:val="0088133D"/>
    <w:rsid w:val="008819CA"/>
    <w:rsid w:val="00881B53"/>
    <w:rsid w:val="008827CF"/>
    <w:rsid w:val="00882E83"/>
    <w:rsid w:val="008834C2"/>
    <w:rsid w:val="0088363E"/>
    <w:rsid w:val="0088389B"/>
    <w:rsid w:val="00883DB8"/>
    <w:rsid w:val="00884448"/>
    <w:rsid w:val="008856BB"/>
    <w:rsid w:val="0088734E"/>
    <w:rsid w:val="00887BB7"/>
    <w:rsid w:val="00891263"/>
    <w:rsid w:val="0089197D"/>
    <w:rsid w:val="00892FC4"/>
    <w:rsid w:val="008933A9"/>
    <w:rsid w:val="00893553"/>
    <w:rsid w:val="00893F7C"/>
    <w:rsid w:val="00894436"/>
    <w:rsid w:val="0089452B"/>
    <w:rsid w:val="008947D3"/>
    <w:rsid w:val="00896A30"/>
    <w:rsid w:val="0089750A"/>
    <w:rsid w:val="008A05F8"/>
    <w:rsid w:val="008A08F0"/>
    <w:rsid w:val="008A0BE3"/>
    <w:rsid w:val="008A10E2"/>
    <w:rsid w:val="008A19A3"/>
    <w:rsid w:val="008A3144"/>
    <w:rsid w:val="008A368F"/>
    <w:rsid w:val="008A372C"/>
    <w:rsid w:val="008A399A"/>
    <w:rsid w:val="008A4498"/>
    <w:rsid w:val="008A500F"/>
    <w:rsid w:val="008A6790"/>
    <w:rsid w:val="008A686A"/>
    <w:rsid w:val="008A7E3F"/>
    <w:rsid w:val="008B0394"/>
    <w:rsid w:val="008B0635"/>
    <w:rsid w:val="008B0FDF"/>
    <w:rsid w:val="008B2712"/>
    <w:rsid w:val="008B4B90"/>
    <w:rsid w:val="008B752B"/>
    <w:rsid w:val="008C0044"/>
    <w:rsid w:val="008C0B44"/>
    <w:rsid w:val="008C2327"/>
    <w:rsid w:val="008C5D13"/>
    <w:rsid w:val="008C5FE6"/>
    <w:rsid w:val="008C6319"/>
    <w:rsid w:val="008C70E8"/>
    <w:rsid w:val="008C7BB3"/>
    <w:rsid w:val="008D57AD"/>
    <w:rsid w:val="008D72E2"/>
    <w:rsid w:val="008E0175"/>
    <w:rsid w:val="008E06E9"/>
    <w:rsid w:val="008E1806"/>
    <w:rsid w:val="008E1F4E"/>
    <w:rsid w:val="008E300B"/>
    <w:rsid w:val="008E36A7"/>
    <w:rsid w:val="008E40B2"/>
    <w:rsid w:val="008E5619"/>
    <w:rsid w:val="008E66F5"/>
    <w:rsid w:val="008E6E8A"/>
    <w:rsid w:val="008E7707"/>
    <w:rsid w:val="008F0271"/>
    <w:rsid w:val="008F1481"/>
    <w:rsid w:val="008F437C"/>
    <w:rsid w:val="008F4C26"/>
    <w:rsid w:val="008F5585"/>
    <w:rsid w:val="008F5CDC"/>
    <w:rsid w:val="008F7099"/>
    <w:rsid w:val="008F74F1"/>
    <w:rsid w:val="008F76B7"/>
    <w:rsid w:val="008F7BF0"/>
    <w:rsid w:val="00900666"/>
    <w:rsid w:val="00901541"/>
    <w:rsid w:val="0090266B"/>
    <w:rsid w:val="009031B8"/>
    <w:rsid w:val="009039E3"/>
    <w:rsid w:val="00904E93"/>
    <w:rsid w:val="00904FCA"/>
    <w:rsid w:val="00905133"/>
    <w:rsid w:val="00905D20"/>
    <w:rsid w:val="0090628F"/>
    <w:rsid w:val="00906C42"/>
    <w:rsid w:val="00906C86"/>
    <w:rsid w:val="00913D95"/>
    <w:rsid w:val="00914068"/>
    <w:rsid w:val="009144E3"/>
    <w:rsid w:val="0091474A"/>
    <w:rsid w:val="0091494C"/>
    <w:rsid w:val="009149A2"/>
    <w:rsid w:val="00914D66"/>
    <w:rsid w:val="00915443"/>
    <w:rsid w:val="009156EE"/>
    <w:rsid w:val="00916774"/>
    <w:rsid w:val="00917F4B"/>
    <w:rsid w:val="0092159A"/>
    <w:rsid w:val="00921896"/>
    <w:rsid w:val="00921C1A"/>
    <w:rsid w:val="009226A9"/>
    <w:rsid w:val="00922BBE"/>
    <w:rsid w:val="00923AC7"/>
    <w:rsid w:val="00923E9A"/>
    <w:rsid w:val="00925A9E"/>
    <w:rsid w:val="009309F2"/>
    <w:rsid w:val="00930A9C"/>
    <w:rsid w:val="00931D52"/>
    <w:rsid w:val="00932887"/>
    <w:rsid w:val="00932B50"/>
    <w:rsid w:val="0093322B"/>
    <w:rsid w:val="00933455"/>
    <w:rsid w:val="00936047"/>
    <w:rsid w:val="009361FC"/>
    <w:rsid w:val="00937812"/>
    <w:rsid w:val="00937FD7"/>
    <w:rsid w:val="00940497"/>
    <w:rsid w:val="00940C49"/>
    <w:rsid w:val="009415A7"/>
    <w:rsid w:val="0094194E"/>
    <w:rsid w:val="00941EA8"/>
    <w:rsid w:val="00942412"/>
    <w:rsid w:val="0094284F"/>
    <w:rsid w:val="00945714"/>
    <w:rsid w:val="009474DD"/>
    <w:rsid w:val="00947CF3"/>
    <w:rsid w:val="00950523"/>
    <w:rsid w:val="00952660"/>
    <w:rsid w:val="00953C60"/>
    <w:rsid w:val="00954C01"/>
    <w:rsid w:val="00954E75"/>
    <w:rsid w:val="0095538A"/>
    <w:rsid w:val="00955F93"/>
    <w:rsid w:val="00956210"/>
    <w:rsid w:val="00956348"/>
    <w:rsid w:val="009563D4"/>
    <w:rsid w:val="00956692"/>
    <w:rsid w:val="00956D3D"/>
    <w:rsid w:val="00956E8E"/>
    <w:rsid w:val="00960C9F"/>
    <w:rsid w:val="00960D11"/>
    <w:rsid w:val="00960FA8"/>
    <w:rsid w:val="00961EE3"/>
    <w:rsid w:val="00963C9B"/>
    <w:rsid w:val="0096419D"/>
    <w:rsid w:val="00966BA3"/>
    <w:rsid w:val="00966F4F"/>
    <w:rsid w:val="00967324"/>
    <w:rsid w:val="009706A8"/>
    <w:rsid w:val="00971590"/>
    <w:rsid w:val="00974E7F"/>
    <w:rsid w:val="00975CC4"/>
    <w:rsid w:val="0097778A"/>
    <w:rsid w:val="00980352"/>
    <w:rsid w:val="00980E68"/>
    <w:rsid w:val="009810AD"/>
    <w:rsid w:val="009813FD"/>
    <w:rsid w:val="00981F51"/>
    <w:rsid w:val="0098244C"/>
    <w:rsid w:val="0098281D"/>
    <w:rsid w:val="009830E5"/>
    <w:rsid w:val="00984796"/>
    <w:rsid w:val="009849E0"/>
    <w:rsid w:val="00984A30"/>
    <w:rsid w:val="00985FB5"/>
    <w:rsid w:val="0098606E"/>
    <w:rsid w:val="009861A0"/>
    <w:rsid w:val="00987995"/>
    <w:rsid w:val="00990232"/>
    <w:rsid w:val="009909EF"/>
    <w:rsid w:val="00991900"/>
    <w:rsid w:val="00991925"/>
    <w:rsid w:val="00991E43"/>
    <w:rsid w:val="009926EB"/>
    <w:rsid w:val="00992943"/>
    <w:rsid w:val="0099337D"/>
    <w:rsid w:val="00994F06"/>
    <w:rsid w:val="0099531D"/>
    <w:rsid w:val="00995654"/>
    <w:rsid w:val="00996F2F"/>
    <w:rsid w:val="00997A30"/>
    <w:rsid w:val="009A2322"/>
    <w:rsid w:val="009A2496"/>
    <w:rsid w:val="009A25BF"/>
    <w:rsid w:val="009A2650"/>
    <w:rsid w:val="009A440E"/>
    <w:rsid w:val="009A4A20"/>
    <w:rsid w:val="009A5D7B"/>
    <w:rsid w:val="009A7808"/>
    <w:rsid w:val="009A7927"/>
    <w:rsid w:val="009B0448"/>
    <w:rsid w:val="009B04B7"/>
    <w:rsid w:val="009B057D"/>
    <w:rsid w:val="009B0EBF"/>
    <w:rsid w:val="009B17A4"/>
    <w:rsid w:val="009B1C21"/>
    <w:rsid w:val="009B2406"/>
    <w:rsid w:val="009B3CF4"/>
    <w:rsid w:val="009B6CC8"/>
    <w:rsid w:val="009B6F61"/>
    <w:rsid w:val="009B722A"/>
    <w:rsid w:val="009B7D64"/>
    <w:rsid w:val="009C00BF"/>
    <w:rsid w:val="009C02C8"/>
    <w:rsid w:val="009C1363"/>
    <w:rsid w:val="009C1415"/>
    <w:rsid w:val="009C268D"/>
    <w:rsid w:val="009C2AE8"/>
    <w:rsid w:val="009C32C4"/>
    <w:rsid w:val="009C3CDA"/>
    <w:rsid w:val="009C49AF"/>
    <w:rsid w:val="009C4C20"/>
    <w:rsid w:val="009C4DD0"/>
    <w:rsid w:val="009C6C6F"/>
    <w:rsid w:val="009C732A"/>
    <w:rsid w:val="009C7727"/>
    <w:rsid w:val="009D337A"/>
    <w:rsid w:val="009D36A8"/>
    <w:rsid w:val="009D4507"/>
    <w:rsid w:val="009D46B6"/>
    <w:rsid w:val="009D4BB3"/>
    <w:rsid w:val="009D4EE2"/>
    <w:rsid w:val="009D571E"/>
    <w:rsid w:val="009D688D"/>
    <w:rsid w:val="009D76CB"/>
    <w:rsid w:val="009D7716"/>
    <w:rsid w:val="009D7F72"/>
    <w:rsid w:val="009E037B"/>
    <w:rsid w:val="009E0E1F"/>
    <w:rsid w:val="009E1F78"/>
    <w:rsid w:val="009E30C1"/>
    <w:rsid w:val="009E3768"/>
    <w:rsid w:val="009E3A93"/>
    <w:rsid w:val="009E3D66"/>
    <w:rsid w:val="009E417E"/>
    <w:rsid w:val="009E4DA6"/>
    <w:rsid w:val="009E50CA"/>
    <w:rsid w:val="009E58BF"/>
    <w:rsid w:val="009E7AE7"/>
    <w:rsid w:val="009F014F"/>
    <w:rsid w:val="009F092C"/>
    <w:rsid w:val="009F0CA0"/>
    <w:rsid w:val="009F0E77"/>
    <w:rsid w:val="009F1FBD"/>
    <w:rsid w:val="009F299F"/>
    <w:rsid w:val="009F3ADD"/>
    <w:rsid w:val="009F4891"/>
    <w:rsid w:val="009F52E3"/>
    <w:rsid w:val="009F658A"/>
    <w:rsid w:val="009F6CA0"/>
    <w:rsid w:val="00A00502"/>
    <w:rsid w:val="00A0376F"/>
    <w:rsid w:val="00A037FD"/>
    <w:rsid w:val="00A0384B"/>
    <w:rsid w:val="00A04A57"/>
    <w:rsid w:val="00A04C5B"/>
    <w:rsid w:val="00A050DE"/>
    <w:rsid w:val="00A0566D"/>
    <w:rsid w:val="00A07FB3"/>
    <w:rsid w:val="00A10DFA"/>
    <w:rsid w:val="00A11AE6"/>
    <w:rsid w:val="00A12590"/>
    <w:rsid w:val="00A134FF"/>
    <w:rsid w:val="00A15300"/>
    <w:rsid w:val="00A15DEB"/>
    <w:rsid w:val="00A15FC5"/>
    <w:rsid w:val="00A1771D"/>
    <w:rsid w:val="00A1783B"/>
    <w:rsid w:val="00A200AE"/>
    <w:rsid w:val="00A21023"/>
    <w:rsid w:val="00A2460A"/>
    <w:rsid w:val="00A26273"/>
    <w:rsid w:val="00A27F1B"/>
    <w:rsid w:val="00A31593"/>
    <w:rsid w:val="00A33425"/>
    <w:rsid w:val="00A33A85"/>
    <w:rsid w:val="00A34E3A"/>
    <w:rsid w:val="00A34F01"/>
    <w:rsid w:val="00A351DF"/>
    <w:rsid w:val="00A364D5"/>
    <w:rsid w:val="00A36FFB"/>
    <w:rsid w:val="00A37FD1"/>
    <w:rsid w:val="00A4007E"/>
    <w:rsid w:val="00A411BB"/>
    <w:rsid w:val="00A41607"/>
    <w:rsid w:val="00A42EF1"/>
    <w:rsid w:val="00A43DC1"/>
    <w:rsid w:val="00A4451C"/>
    <w:rsid w:val="00A447ED"/>
    <w:rsid w:val="00A4569B"/>
    <w:rsid w:val="00A457E4"/>
    <w:rsid w:val="00A45DD8"/>
    <w:rsid w:val="00A4767B"/>
    <w:rsid w:val="00A47E89"/>
    <w:rsid w:val="00A50F10"/>
    <w:rsid w:val="00A51FAB"/>
    <w:rsid w:val="00A52586"/>
    <w:rsid w:val="00A52CA7"/>
    <w:rsid w:val="00A53793"/>
    <w:rsid w:val="00A53B81"/>
    <w:rsid w:val="00A54180"/>
    <w:rsid w:val="00A54CDA"/>
    <w:rsid w:val="00A558C1"/>
    <w:rsid w:val="00A55B1C"/>
    <w:rsid w:val="00A5763F"/>
    <w:rsid w:val="00A5779C"/>
    <w:rsid w:val="00A57D8F"/>
    <w:rsid w:val="00A61C33"/>
    <w:rsid w:val="00A61C3A"/>
    <w:rsid w:val="00A6221A"/>
    <w:rsid w:val="00A6224A"/>
    <w:rsid w:val="00A63740"/>
    <w:rsid w:val="00A64281"/>
    <w:rsid w:val="00A64323"/>
    <w:rsid w:val="00A64BF6"/>
    <w:rsid w:val="00A65ECC"/>
    <w:rsid w:val="00A67044"/>
    <w:rsid w:val="00A6707B"/>
    <w:rsid w:val="00A71FAD"/>
    <w:rsid w:val="00A72EE3"/>
    <w:rsid w:val="00A7345E"/>
    <w:rsid w:val="00A73D36"/>
    <w:rsid w:val="00A73F34"/>
    <w:rsid w:val="00A74F0E"/>
    <w:rsid w:val="00A75645"/>
    <w:rsid w:val="00A75919"/>
    <w:rsid w:val="00A771CF"/>
    <w:rsid w:val="00A778C9"/>
    <w:rsid w:val="00A80D2D"/>
    <w:rsid w:val="00A80ED8"/>
    <w:rsid w:val="00A81C41"/>
    <w:rsid w:val="00A82097"/>
    <w:rsid w:val="00A82B73"/>
    <w:rsid w:val="00A830B2"/>
    <w:rsid w:val="00A83BE0"/>
    <w:rsid w:val="00A84276"/>
    <w:rsid w:val="00A842DD"/>
    <w:rsid w:val="00A84686"/>
    <w:rsid w:val="00A85F52"/>
    <w:rsid w:val="00A86FB0"/>
    <w:rsid w:val="00A907AE"/>
    <w:rsid w:val="00A920BD"/>
    <w:rsid w:val="00A925D7"/>
    <w:rsid w:val="00A9439D"/>
    <w:rsid w:val="00A9499B"/>
    <w:rsid w:val="00A950E6"/>
    <w:rsid w:val="00AA128F"/>
    <w:rsid w:val="00AA2309"/>
    <w:rsid w:val="00AA23CC"/>
    <w:rsid w:val="00AA2486"/>
    <w:rsid w:val="00AA250B"/>
    <w:rsid w:val="00AA270B"/>
    <w:rsid w:val="00AA278A"/>
    <w:rsid w:val="00AA290F"/>
    <w:rsid w:val="00AA2A99"/>
    <w:rsid w:val="00AA5413"/>
    <w:rsid w:val="00AA6E35"/>
    <w:rsid w:val="00AA7694"/>
    <w:rsid w:val="00AA79BD"/>
    <w:rsid w:val="00AB0E19"/>
    <w:rsid w:val="00AB1383"/>
    <w:rsid w:val="00AB289F"/>
    <w:rsid w:val="00AB28F0"/>
    <w:rsid w:val="00AB2F6E"/>
    <w:rsid w:val="00AB3EFE"/>
    <w:rsid w:val="00AB424E"/>
    <w:rsid w:val="00AB4B9B"/>
    <w:rsid w:val="00AB59A6"/>
    <w:rsid w:val="00AB6648"/>
    <w:rsid w:val="00AB797D"/>
    <w:rsid w:val="00AC1A5D"/>
    <w:rsid w:val="00AC300B"/>
    <w:rsid w:val="00AC357C"/>
    <w:rsid w:val="00AC414D"/>
    <w:rsid w:val="00AC430C"/>
    <w:rsid w:val="00AC45FA"/>
    <w:rsid w:val="00AC52CA"/>
    <w:rsid w:val="00AC628D"/>
    <w:rsid w:val="00AD121F"/>
    <w:rsid w:val="00AD3881"/>
    <w:rsid w:val="00AD55F3"/>
    <w:rsid w:val="00AD6077"/>
    <w:rsid w:val="00AD6DE0"/>
    <w:rsid w:val="00AD7080"/>
    <w:rsid w:val="00AD76B0"/>
    <w:rsid w:val="00AD7875"/>
    <w:rsid w:val="00AD7C13"/>
    <w:rsid w:val="00AD7CE8"/>
    <w:rsid w:val="00AE0974"/>
    <w:rsid w:val="00AE1FF9"/>
    <w:rsid w:val="00AE3465"/>
    <w:rsid w:val="00AE42EA"/>
    <w:rsid w:val="00AE43BD"/>
    <w:rsid w:val="00AE5AD2"/>
    <w:rsid w:val="00AE5B5C"/>
    <w:rsid w:val="00AE5E8E"/>
    <w:rsid w:val="00AE6B36"/>
    <w:rsid w:val="00AE7352"/>
    <w:rsid w:val="00AE7500"/>
    <w:rsid w:val="00AE7BBE"/>
    <w:rsid w:val="00AE7C2D"/>
    <w:rsid w:val="00AF0383"/>
    <w:rsid w:val="00AF0FF1"/>
    <w:rsid w:val="00AF1091"/>
    <w:rsid w:val="00AF17E9"/>
    <w:rsid w:val="00AF1817"/>
    <w:rsid w:val="00AF35DF"/>
    <w:rsid w:val="00AF390C"/>
    <w:rsid w:val="00AF50F8"/>
    <w:rsid w:val="00AF5B31"/>
    <w:rsid w:val="00AF6617"/>
    <w:rsid w:val="00AF67FE"/>
    <w:rsid w:val="00B0040F"/>
    <w:rsid w:val="00B00781"/>
    <w:rsid w:val="00B0160D"/>
    <w:rsid w:val="00B01707"/>
    <w:rsid w:val="00B02189"/>
    <w:rsid w:val="00B02E62"/>
    <w:rsid w:val="00B03F45"/>
    <w:rsid w:val="00B0491D"/>
    <w:rsid w:val="00B059C9"/>
    <w:rsid w:val="00B06B3F"/>
    <w:rsid w:val="00B06F49"/>
    <w:rsid w:val="00B06F7F"/>
    <w:rsid w:val="00B07305"/>
    <w:rsid w:val="00B076EF"/>
    <w:rsid w:val="00B10C86"/>
    <w:rsid w:val="00B10F68"/>
    <w:rsid w:val="00B11530"/>
    <w:rsid w:val="00B141C0"/>
    <w:rsid w:val="00B146EF"/>
    <w:rsid w:val="00B14C12"/>
    <w:rsid w:val="00B14DC3"/>
    <w:rsid w:val="00B15316"/>
    <w:rsid w:val="00B16383"/>
    <w:rsid w:val="00B170A5"/>
    <w:rsid w:val="00B17E12"/>
    <w:rsid w:val="00B201C9"/>
    <w:rsid w:val="00B202A4"/>
    <w:rsid w:val="00B20384"/>
    <w:rsid w:val="00B20971"/>
    <w:rsid w:val="00B21967"/>
    <w:rsid w:val="00B223C1"/>
    <w:rsid w:val="00B22805"/>
    <w:rsid w:val="00B23E82"/>
    <w:rsid w:val="00B23F5D"/>
    <w:rsid w:val="00B24539"/>
    <w:rsid w:val="00B2495B"/>
    <w:rsid w:val="00B24E5F"/>
    <w:rsid w:val="00B254A2"/>
    <w:rsid w:val="00B25DA5"/>
    <w:rsid w:val="00B26D73"/>
    <w:rsid w:val="00B26E8F"/>
    <w:rsid w:val="00B27329"/>
    <w:rsid w:val="00B2745C"/>
    <w:rsid w:val="00B302BA"/>
    <w:rsid w:val="00B306D4"/>
    <w:rsid w:val="00B30D7A"/>
    <w:rsid w:val="00B31DC4"/>
    <w:rsid w:val="00B31ED6"/>
    <w:rsid w:val="00B3200A"/>
    <w:rsid w:val="00B32955"/>
    <w:rsid w:val="00B32A88"/>
    <w:rsid w:val="00B32BE7"/>
    <w:rsid w:val="00B34294"/>
    <w:rsid w:val="00B366B5"/>
    <w:rsid w:val="00B3748D"/>
    <w:rsid w:val="00B4112B"/>
    <w:rsid w:val="00B41E6A"/>
    <w:rsid w:val="00B45A0D"/>
    <w:rsid w:val="00B462D7"/>
    <w:rsid w:val="00B467E8"/>
    <w:rsid w:val="00B46CB0"/>
    <w:rsid w:val="00B473CC"/>
    <w:rsid w:val="00B475D3"/>
    <w:rsid w:val="00B47FE1"/>
    <w:rsid w:val="00B5086F"/>
    <w:rsid w:val="00B51CBE"/>
    <w:rsid w:val="00B52439"/>
    <w:rsid w:val="00B531DC"/>
    <w:rsid w:val="00B53FB7"/>
    <w:rsid w:val="00B54A0E"/>
    <w:rsid w:val="00B55D9F"/>
    <w:rsid w:val="00B56B84"/>
    <w:rsid w:val="00B62135"/>
    <w:rsid w:val="00B625A2"/>
    <w:rsid w:val="00B62A22"/>
    <w:rsid w:val="00B63A06"/>
    <w:rsid w:val="00B63B3D"/>
    <w:rsid w:val="00B64A81"/>
    <w:rsid w:val="00B653E1"/>
    <w:rsid w:val="00B65DD3"/>
    <w:rsid w:val="00B66314"/>
    <w:rsid w:val="00B67E86"/>
    <w:rsid w:val="00B7049B"/>
    <w:rsid w:val="00B70A90"/>
    <w:rsid w:val="00B7164C"/>
    <w:rsid w:val="00B72B0F"/>
    <w:rsid w:val="00B7321E"/>
    <w:rsid w:val="00B737CB"/>
    <w:rsid w:val="00B7421A"/>
    <w:rsid w:val="00B75323"/>
    <w:rsid w:val="00B76A1D"/>
    <w:rsid w:val="00B76FA4"/>
    <w:rsid w:val="00B77300"/>
    <w:rsid w:val="00B775FC"/>
    <w:rsid w:val="00B80BAF"/>
    <w:rsid w:val="00B813B9"/>
    <w:rsid w:val="00B81726"/>
    <w:rsid w:val="00B8177C"/>
    <w:rsid w:val="00B82BC0"/>
    <w:rsid w:val="00B83161"/>
    <w:rsid w:val="00B83864"/>
    <w:rsid w:val="00B85177"/>
    <w:rsid w:val="00B855DA"/>
    <w:rsid w:val="00B85829"/>
    <w:rsid w:val="00B85A82"/>
    <w:rsid w:val="00B8643B"/>
    <w:rsid w:val="00B87F32"/>
    <w:rsid w:val="00B925E1"/>
    <w:rsid w:val="00B9324A"/>
    <w:rsid w:val="00B936BE"/>
    <w:rsid w:val="00B94775"/>
    <w:rsid w:val="00B96EA2"/>
    <w:rsid w:val="00BA0D14"/>
    <w:rsid w:val="00BA1D49"/>
    <w:rsid w:val="00BA3ABC"/>
    <w:rsid w:val="00BA480F"/>
    <w:rsid w:val="00BA5250"/>
    <w:rsid w:val="00BA58EB"/>
    <w:rsid w:val="00BA6E17"/>
    <w:rsid w:val="00BA7812"/>
    <w:rsid w:val="00BA7A24"/>
    <w:rsid w:val="00BB0E18"/>
    <w:rsid w:val="00BB254D"/>
    <w:rsid w:val="00BB26E6"/>
    <w:rsid w:val="00BB2905"/>
    <w:rsid w:val="00BB2B73"/>
    <w:rsid w:val="00BB2BF3"/>
    <w:rsid w:val="00BB35FB"/>
    <w:rsid w:val="00BB4312"/>
    <w:rsid w:val="00BB5F6B"/>
    <w:rsid w:val="00BB7BB3"/>
    <w:rsid w:val="00BC0B21"/>
    <w:rsid w:val="00BC1D9D"/>
    <w:rsid w:val="00BC1DE6"/>
    <w:rsid w:val="00BC33D1"/>
    <w:rsid w:val="00BC4BA1"/>
    <w:rsid w:val="00BC4D6A"/>
    <w:rsid w:val="00BC5FD9"/>
    <w:rsid w:val="00BC7063"/>
    <w:rsid w:val="00BC7706"/>
    <w:rsid w:val="00BD0795"/>
    <w:rsid w:val="00BD0B57"/>
    <w:rsid w:val="00BD2A29"/>
    <w:rsid w:val="00BD2B7B"/>
    <w:rsid w:val="00BD387E"/>
    <w:rsid w:val="00BD44E3"/>
    <w:rsid w:val="00BD46CF"/>
    <w:rsid w:val="00BD47E0"/>
    <w:rsid w:val="00BD4DDD"/>
    <w:rsid w:val="00BD4F70"/>
    <w:rsid w:val="00BD532B"/>
    <w:rsid w:val="00BE0872"/>
    <w:rsid w:val="00BE2C8D"/>
    <w:rsid w:val="00BE30C0"/>
    <w:rsid w:val="00BE3514"/>
    <w:rsid w:val="00BE49C5"/>
    <w:rsid w:val="00BE51D4"/>
    <w:rsid w:val="00BE5289"/>
    <w:rsid w:val="00BE531C"/>
    <w:rsid w:val="00BE5C41"/>
    <w:rsid w:val="00BE6329"/>
    <w:rsid w:val="00BE633E"/>
    <w:rsid w:val="00BE65D3"/>
    <w:rsid w:val="00BE7458"/>
    <w:rsid w:val="00BF161C"/>
    <w:rsid w:val="00BF25F2"/>
    <w:rsid w:val="00BF2879"/>
    <w:rsid w:val="00BF28E9"/>
    <w:rsid w:val="00BF31F0"/>
    <w:rsid w:val="00BF3490"/>
    <w:rsid w:val="00BF5073"/>
    <w:rsid w:val="00BF55E6"/>
    <w:rsid w:val="00BF56F6"/>
    <w:rsid w:val="00BF5C7C"/>
    <w:rsid w:val="00BF6C5E"/>
    <w:rsid w:val="00BF7451"/>
    <w:rsid w:val="00C01C96"/>
    <w:rsid w:val="00C0212D"/>
    <w:rsid w:val="00C0367E"/>
    <w:rsid w:val="00C03B8A"/>
    <w:rsid w:val="00C03CDB"/>
    <w:rsid w:val="00C04291"/>
    <w:rsid w:val="00C05414"/>
    <w:rsid w:val="00C0607F"/>
    <w:rsid w:val="00C07943"/>
    <w:rsid w:val="00C07C3E"/>
    <w:rsid w:val="00C11586"/>
    <w:rsid w:val="00C12472"/>
    <w:rsid w:val="00C125D3"/>
    <w:rsid w:val="00C12738"/>
    <w:rsid w:val="00C13087"/>
    <w:rsid w:val="00C13337"/>
    <w:rsid w:val="00C14DEF"/>
    <w:rsid w:val="00C15970"/>
    <w:rsid w:val="00C162A2"/>
    <w:rsid w:val="00C16A14"/>
    <w:rsid w:val="00C16B64"/>
    <w:rsid w:val="00C171B1"/>
    <w:rsid w:val="00C176AF"/>
    <w:rsid w:val="00C17891"/>
    <w:rsid w:val="00C224BD"/>
    <w:rsid w:val="00C22B70"/>
    <w:rsid w:val="00C248A2"/>
    <w:rsid w:val="00C279B3"/>
    <w:rsid w:val="00C301C7"/>
    <w:rsid w:val="00C30EB3"/>
    <w:rsid w:val="00C32474"/>
    <w:rsid w:val="00C32987"/>
    <w:rsid w:val="00C32DD8"/>
    <w:rsid w:val="00C336B9"/>
    <w:rsid w:val="00C355CD"/>
    <w:rsid w:val="00C35F63"/>
    <w:rsid w:val="00C362C7"/>
    <w:rsid w:val="00C363A5"/>
    <w:rsid w:val="00C37C95"/>
    <w:rsid w:val="00C40535"/>
    <w:rsid w:val="00C40C08"/>
    <w:rsid w:val="00C414BF"/>
    <w:rsid w:val="00C419C0"/>
    <w:rsid w:val="00C42049"/>
    <w:rsid w:val="00C42742"/>
    <w:rsid w:val="00C4654C"/>
    <w:rsid w:val="00C469A0"/>
    <w:rsid w:val="00C4783B"/>
    <w:rsid w:val="00C47B40"/>
    <w:rsid w:val="00C509B5"/>
    <w:rsid w:val="00C5135F"/>
    <w:rsid w:val="00C51AB3"/>
    <w:rsid w:val="00C52A5E"/>
    <w:rsid w:val="00C53167"/>
    <w:rsid w:val="00C53592"/>
    <w:rsid w:val="00C53F84"/>
    <w:rsid w:val="00C555CB"/>
    <w:rsid w:val="00C566DE"/>
    <w:rsid w:val="00C571F4"/>
    <w:rsid w:val="00C57638"/>
    <w:rsid w:val="00C618E5"/>
    <w:rsid w:val="00C62393"/>
    <w:rsid w:val="00C63ED7"/>
    <w:rsid w:val="00C64157"/>
    <w:rsid w:val="00C642C0"/>
    <w:rsid w:val="00C666D0"/>
    <w:rsid w:val="00C669E6"/>
    <w:rsid w:val="00C6776D"/>
    <w:rsid w:val="00C7038F"/>
    <w:rsid w:val="00C70743"/>
    <w:rsid w:val="00C70921"/>
    <w:rsid w:val="00C71444"/>
    <w:rsid w:val="00C718AB"/>
    <w:rsid w:val="00C71B62"/>
    <w:rsid w:val="00C732BB"/>
    <w:rsid w:val="00C73C76"/>
    <w:rsid w:val="00C73F50"/>
    <w:rsid w:val="00C74098"/>
    <w:rsid w:val="00C7444F"/>
    <w:rsid w:val="00C74CB0"/>
    <w:rsid w:val="00C75D4F"/>
    <w:rsid w:val="00C779D8"/>
    <w:rsid w:val="00C80455"/>
    <w:rsid w:val="00C805FF"/>
    <w:rsid w:val="00C80999"/>
    <w:rsid w:val="00C80CAE"/>
    <w:rsid w:val="00C812FD"/>
    <w:rsid w:val="00C81E6C"/>
    <w:rsid w:val="00C830FD"/>
    <w:rsid w:val="00C83870"/>
    <w:rsid w:val="00C84F1F"/>
    <w:rsid w:val="00C85472"/>
    <w:rsid w:val="00C85654"/>
    <w:rsid w:val="00C85A3D"/>
    <w:rsid w:val="00C866A5"/>
    <w:rsid w:val="00C86A53"/>
    <w:rsid w:val="00C87016"/>
    <w:rsid w:val="00C8729E"/>
    <w:rsid w:val="00C91C40"/>
    <w:rsid w:val="00C91EB4"/>
    <w:rsid w:val="00C9221B"/>
    <w:rsid w:val="00C93437"/>
    <w:rsid w:val="00C939CC"/>
    <w:rsid w:val="00C94CA9"/>
    <w:rsid w:val="00C963D2"/>
    <w:rsid w:val="00C9677D"/>
    <w:rsid w:val="00C96E22"/>
    <w:rsid w:val="00C96FF6"/>
    <w:rsid w:val="00C97D0A"/>
    <w:rsid w:val="00CA26AE"/>
    <w:rsid w:val="00CA34A4"/>
    <w:rsid w:val="00CA4099"/>
    <w:rsid w:val="00CA47CC"/>
    <w:rsid w:val="00CA4A67"/>
    <w:rsid w:val="00CA5771"/>
    <w:rsid w:val="00CA5AD5"/>
    <w:rsid w:val="00CA5B00"/>
    <w:rsid w:val="00CA6D39"/>
    <w:rsid w:val="00CA725B"/>
    <w:rsid w:val="00CB10BC"/>
    <w:rsid w:val="00CB118C"/>
    <w:rsid w:val="00CB17D6"/>
    <w:rsid w:val="00CB1A8C"/>
    <w:rsid w:val="00CB411F"/>
    <w:rsid w:val="00CB6DE9"/>
    <w:rsid w:val="00CB701E"/>
    <w:rsid w:val="00CC0F93"/>
    <w:rsid w:val="00CC19BD"/>
    <w:rsid w:val="00CC2333"/>
    <w:rsid w:val="00CC4171"/>
    <w:rsid w:val="00CC4940"/>
    <w:rsid w:val="00CC4B25"/>
    <w:rsid w:val="00CC56B0"/>
    <w:rsid w:val="00CC5DE6"/>
    <w:rsid w:val="00CC6894"/>
    <w:rsid w:val="00CD022E"/>
    <w:rsid w:val="00CD230A"/>
    <w:rsid w:val="00CD46B3"/>
    <w:rsid w:val="00CD46F8"/>
    <w:rsid w:val="00CD5EDC"/>
    <w:rsid w:val="00CD6A0E"/>
    <w:rsid w:val="00CD732C"/>
    <w:rsid w:val="00CE2617"/>
    <w:rsid w:val="00CE38CE"/>
    <w:rsid w:val="00CE433E"/>
    <w:rsid w:val="00CE49F3"/>
    <w:rsid w:val="00CE5A36"/>
    <w:rsid w:val="00CE74CB"/>
    <w:rsid w:val="00CF0A2F"/>
    <w:rsid w:val="00CF0F9C"/>
    <w:rsid w:val="00CF1E33"/>
    <w:rsid w:val="00CF2961"/>
    <w:rsid w:val="00CF2BFC"/>
    <w:rsid w:val="00CF41E0"/>
    <w:rsid w:val="00CF51A9"/>
    <w:rsid w:val="00CF674B"/>
    <w:rsid w:val="00CF7318"/>
    <w:rsid w:val="00CF7535"/>
    <w:rsid w:val="00CF7DC1"/>
    <w:rsid w:val="00CF7DE8"/>
    <w:rsid w:val="00D002D5"/>
    <w:rsid w:val="00D018BA"/>
    <w:rsid w:val="00D01D36"/>
    <w:rsid w:val="00D02226"/>
    <w:rsid w:val="00D0283F"/>
    <w:rsid w:val="00D02A03"/>
    <w:rsid w:val="00D02F02"/>
    <w:rsid w:val="00D048B3"/>
    <w:rsid w:val="00D04DD0"/>
    <w:rsid w:val="00D11FEA"/>
    <w:rsid w:val="00D1371E"/>
    <w:rsid w:val="00D13C19"/>
    <w:rsid w:val="00D144D9"/>
    <w:rsid w:val="00D1733C"/>
    <w:rsid w:val="00D178E7"/>
    <w:rsid w:val="00D20C12"/>
    <w:rsid w:val="00D212CA"/>
    <w:rsid w:val="00D217F3"/>
    <w:rsid w:val="00D21BD8"/>
    <w:rsid w:val="00D23236"/>
    <w:rsid w:val="00D235DC"/>
    <w:rsid w:val="00D236CE"/>
    <w:rsid w:val="00D24797"/>
    <w:rsid w:val="00D26E54"/>
    <w:rsid w:val="00D27087"/>
    <w:rsid w:val="00D30933"/>
    <w:rsid w:val="00D32E06"/>
    <w:rsid w:val="00D34E4A"/>
    <w:rsid w:val="00D35EE1"/>
    <w:rsid w:val="00D36D5E"/>
    <w:rsid w:val="00D40EB7"/>
    <w:rsid w:val="00D420D5"/>
    <w:rsid w:val="00D45196"/>
    <w:rsid w:val="00D45D05"/>
    <w:rsid w:val="00D46E6D"/>
    <w:rsid w:val="00D472B7"/>
    <w:rsid w:val="00D474E7"/>
    <w:rsid w:val="00D504D8"/>
    <w:rsid w:val="00D506A7"/>
    <w:rsid w:val="00D511B5"/>
    <w:rsid w:val="00D522A8"/>
    <w:rsid w:val="00D52552"/>
    <w:rsid w:val="00D5339B"/>
    <w:rsid w:val="00D53E38"/>
    <w:rsid w:val="00D5528B"/>
    <w:rsid w:val="00D5529A"/>
    <w:rsid w:val="00D55B6F"/>
    <w:rsid w:val="00D561AF"/>
    <w:rsid w:val="00D5666D"/>
    <w:rsid w:val="00D5678A"/>
    <w:rsid w:val="00D56A24"/>
    <w:rsid w:val="00D56A99"/>
    <w:rsid w:val="00D56F59"/>
    <w:rsid w:val="00D577D9"/>
    <w:rsid w:val="00D613DA"/>
    <w:rsid w:val="00D628F7"/>
    <w:rsid w:val="00D632DF"/>
    <w:rsid w:val="00D6344A"/>
    <w:rsid w:val="00D6377A"/>
    <w:rsid w:val="00D639F0"/>
    <w:rsid w:val="00D64A2D"/>
    <w:rsid w:val="00D6604C"/>
    <w:rsid w:val="00D669AF"/>
    <w:rsid w:val="00D67F7B"/>
    <w:rsid w:val="00D70B2A"/>
    <w:rsid w:val="00D718BC"/>
    <w:rsid w:val="00D72287"/>
    <w:rsid w:val="00D72FAC"/>
    <w:rsid w:val="00D72FC6"/>
    <w:rsid w:val="00D73A1F"/>
    <w:rsid w:val="00D73D34"/>
    <w:rsid w:val="00D7505E"/>
    <w:rsid w:val="00D7667E"/>
    <w:rsid w:val="00D76C11"/>
    <w:rsid w:val="00D77758"/>
    <w:rsid w:val="00D82297"/>
    <w:rsid w:val="00D827F7"/>
    <w:rsid w:val="00D831DA"/>
    <w:rsid w:val="00D83E96"/>
    <w:rsid w:val="00D84B28"/>
    <w:rsid w:val="00D85A4C"/>
    <w:rsid w:val="00D8609D"/>
    <w:rsid w:val="00D87777"/>
    <w:rsid w:val="00D87A9E"/>
    <w:rsid w:val="00D87C6A"/>
    <w:rsid w:val="00D87FE0"/>
    <w:rsid w:val="00D90456"/>
    <w:rsid w:val="00D90BE7"/>
    <w:rsid w:val="00D90DA7"/>
    <w:rsid w:val="00D90F7C"/>
    <w:rsid w:val="00D91320"/>
    <w:rsid w:val="00D91AFE"/>
    <w:rsid w:val="00D91BDD"/>
    <w:rsid w:val="00D9260A"/>
    <w:rsid w:val="00D92EA7"/>
    <w:rsid w:val="00D93008"/>
    <w:rsid w:val="00D95698"/>
    <w:rsid w:val="00D957B3"/>
    <w:rsid w:val="00D95A39"/>
    <w:rsid w:val="00D95C7D"/>
    <w:rsid w:val="00D95E6F"/>
    <w:rsid w:val="00D95F2B"/>
    <w:rsid w:val="00D96BBA"/>
    <w:rsid w:val="00D96C20"/>
    <w:rsid w:val="00D973A7"/>
    <w:rsid w:val="00D97567"/>
    <w:rsid w:val="00D97948"/>
    <w:rsid w:val="00DA0020"/>
    <w:rsid w:val="00DA086C"/>
    <w:rsid w:val="00DA2AAD"/>
    <w:rsid w:val="00DA2D01"/>
    <w:rsid w:val="00DA2E67"/>
    <w:rsid w:val="00DA32C3"/>
    <w:rsid w:val="00DA3E77"/>
    <w:rsid w:val="00DA43BD"/>
    <w:rsid w:val="00DA53E8"/>
    <w:rsid w:val="00DA54CE"/>
    <w:rsid w:val="00DA56C2"/>
    <w:rsid w:val="00DA5C69"/>
    <w:rsid w:val="00DA62F3"/>
    <w:rsid w:val="00DA66DF"/>
    <w:rsid w:val="00DA688E"/>
    <w:rsid w:val="00DA7196"/>
    <w:rsid w:val="00DA7FAB"/>
    <w:rsid w:val="00DB04C3"/>
    <w:rsid w:val="00DB22EB"/>
    <w:rsid w:val="00DB25C6"/>
    <w:rsid w:val="00DB3AF5"/>
    <w:rsid w:val="00DB443D"/>
    <w:rsid w:val="00DB4D87"/>
    <w:rsid w:val="00DB61F9"/>
    <w:rsid w:val="00DB6757"/>
    <w:rsid w:val="00DB71EC"/>
    <w:rsid w:val="00DC0D04"/>
    <w:rsid w:val="00DC1163"/>
    <w:rsid w:val="00DC1306"/>
    <w:rsid w:val="00DC19FA"/>
    <w:rsid w:val="00DC1B2E"/>
    <w:rsid w:val="00DC2DCA"/>
    <w:rsid w:val="00DC3D6E"/>
    <w:rsid w:val="00DC4288"/>
    <w:rsid w:val="00DC5E4D"/>
    <w:rsid w:val="00DC62C2"/>
    <w:rsid w:val="00DC7502"/>
    <w:rsid w:val="00DD029C"/>
    <w:rsid w:val="00DD173E"/>
    <w:rsid w:val="00DD2F31"/>
    <w:rsid w:val="00DD5A51"/>
    <w:rsid w:val="00DD6447"/>
    <w:rsid w:val="00DE0725"/>
    <w:rsid w:val="00DE0E12"/>
    <w:rsid w:val="00DE1144"/>
    <w:rsid w:val="00DE1D36"/>
    <w:rsid w:val="00DE250E"/>
    <w:rsid w:val="00DE259C"/>
    <w:rsid w:val="00DE2E05"/>
    <w:rsid w:val="00DE4D94"/>
    <w:rsid w:val="00DE56C4"/>
    <w:rsid w:val="00DE5730"/>
    <w:rsid w:val="00DE5EBA"/>
    <w:rsid w:val="00DE70BF"/>
    <w:rsid w:val="00DE7CAA"/>
    <w:rsid w:val="00DE7CB0"/>
    <w:rsid w:val="00DE7CF8"/>
    <w:rsid w:val="00DF0288"/>
    <w:rsid w:val="00DF14E4"/>
    <w:rsid w:val="00DF1A2E"/>
    <w:rsid w:val="00DF1BD8"/>
    <w:rsid w:val="00DF20A7"/>
    <w:rsid w:val="00DF2350"/>
    <w:rsid w:val="00DF2E23"/>
    <w:rsid w:val="00DF47AA"/>
    <w:rsid w:val="00DF4C54"/>
    <w:rsid w:val="00DF4EB1"/>
    <w:rsid w:val="00DF5FB1"/>
    <w:rsid w:val="00DF7AF6"/>
    <w:rsid w:val="00E01E04"/>
    <w:rsid w:val="00E02AF8"/>
    <w:rsid w:val="00E02DC6"/>
    <w:rsid w:val="00E05243"/>
    <w:rsid w:val="00E057DA"/>
    <w:rsid w:val="00E05C76"/>
    <w:rsid w:val="00E0608F"/>
    <w:rsid w:val="00E061D8"/>
    <w:rsid w:val="00E073C5"/>
    <w:rsid w:val="00E117F8"/>
    <w:rsid w:val="00E129D1"/>
    <w:rsid w:val="00E13E19"/>
    <w:rsid w:val="00E1510E"/>
    <w:rsid w:val="00E1539C"/>
    <w:rsid w:val="00E15B7C"/>
    <w:rsid w:val="00E16194"/>
    <w:rsid w:val="00E173FA"/>
    <w:rsid w:val="00E21379"/>
    <w:rsid w:val="00E21708"/>
    <w:rsid w:val="00E221D6"/>
    <w:rsid w:val="00E228FA"/>
    <w:rsid w:val="00E22DC9"/>
    <w:rsid w:val="00E237F0"/>
    <w:rsid w:val="00E27118"/>
    <w:rsid w:val="00E27CAC"/>
    <w:rsid w:val="00E308DD"/>
    <w:rsid w:val="00E30F05"/>
    <w:rsid w:val="00E318E1"/>
    <w:rsid w:val="00E31DE5"/>
    <w:rsid w:val="00E32391"/>
    <w:rsid w:val="00E32802"/>
    <w:rsid w:val="00E32FB6"/>
    <w:rsid w:val="00E33E57"/>
    <w:rsid w:val="00E340CB"/>
    <w:rsid w:val="00E3492A"/>
    <w:rsid w:val="00E349F3"/>
    <w:rsid w:val="00E35139"/>
    <w:rsid w:val="00E36D4B"/>
    <w:rsid w:val="00E36F9C"/>
    <w:rsid w:val="00E374B8"/>
    <w:rsid w:val="00E415D8"/>
    <w:rsid w:val="00E42A72"/>
    <w:rsid w:val="00E42FDF"/>
    <w:rsid w:val="00E44C54"/>
    <w:rsid w:val="00E47981"/>
    <w:rsid w:val="00E5016D"/>
    <w:rsid w:val="00E514DA"/>
    <w:rsid w:val="00E5170D"/>
    <w:rsid w:val="00E51D1F"/>
    <w:rsid w:val="00E525B5"/>
    <w:rsid w:val="00E53E6C"/>
    <w:rsid w:val="00E54005"/>
    <w:rsid w:val="00E54D31"/>
    <w:rsid w:val="00E562FA"/>
    <w:rsid w:val="00E578B7"/>
    <w:rsid w:val="00E57CE5"/>
    <w:rsid w:val="00E61183"/>
    <w:rsid w:val="00E61943"/>
    <w:rsid w:val="00E622A6"/>
    <w:rsid w:val="00E624C8"/>
    <w:rsid w:val="00E62EF4"/>
    <w:rsid w:val="00E633F5"/>
    <w:rsid w:val="00E65814"/>
    <w:rsid w:val="00E67A5F"/>
    <w:rsid w:val="00E67BB5"/>
    <w:rsid w:val="00E67FFC"/>
    <w:rsid w:val="00E71B19"/>
    <w:rsid w:val="00E71B68"/>
    <w:rsid w:val="00E72BCF"/>
    <w:rsid w:val="00E7349F"/>
    <w:rsid w:val="00E76821"/>
    <w:rsid w:val="00E7775B"/>
    <w:rsid w:val="00E8001A"/>
    <w:rsid w:val="00E814E6"/>
    <w:rsid w:val="00E81A4A"/>
    <w:rsid w:val="00E821F1"/>
    <w:rsid w:val="00E82D38"/>
    <w:rsid w:val="00E83ADD"/>
    <w:rsid w:val="00E850FE"/>
    <w:rsid w:val="00E856D5"/>
    <w:rsid w:val="00E85802"/>
    <w:rsid w:val="00E8666C"/>
    <w:rsid w:val="00E87D7D"/>
    <w:rsid w:val="00E87F42"/>
    <w:rsid w:val="00E90000"/>
    <w:rsid w:val="00E904C2"/>
    <w:rsid w:val="00E9075F"/>
    <w:rsid w:val="00E90DC1"/>
    <w:rsid w:val="00E9131D"/>
    <w:rsid w:val="00E916C3"/>
    <w:rsid w:val="00E91EFC"/>
    <w:rsid w:val="00E921D3"/>
    <w:rsid w:val="00E9277E"/>
    <w:rsid w:val="00E944CA"/>
    <w:rsid w:val="00E950A9"/>
    <w:rsid w:val="00E95200"/>
    <w:rsid w:val="00E962B0"/>
    <w:rsid w:val="00E96E9B"/>
    <w:rsid w:val="00E9793D"/>
    <w:rsid w:val="00E97FFA"/>
    <w:rsid w:val="00EA04AF"/>
    <w:rsid w:val="00EA0DA6"/>
    <w:rsid w:val="00EA13E8"/>
    <w:rsid w:val="00EA2829"/>
    <w:rsid w:val="00EA45D6"/>
    <w:rsid w:val="00EA4979"/>
    <w:rsid w:val="00EA6146"/>
    <w:rsid w:val="00EA6B9D"/>
    <w:rsid w:val="00EA73E2"/>
    <w:rsid w:val="00EA7755"/>
    <w:rsid w:val="00EB094E"/>
    <w:rsid w:val="00EB138E"/>
    <w:rsid w:val="00EB2247"/>
    <w:rsid w:val="00EB2387"/>
    <w:rsid w:val="00EB2A08"/>
    <w:rsid w:val="00EB348D"/>
    <w:rsid w:val="00EB3545"/>
    <w:rsid w:val="00EB3925"/>
    <w:rsid w:val="00EB3A57"/>
    <w:rsid w:val="00EB48CD"/>
    <w:rsid w:val="00EB5ABB"/>
    <w:rsid w:val="00EB5EE0"/>
    <w:rsid w:val="00EB5F72"/>
    <w:rsid w:val="00EB5FBD"/>
    <w:rsid w:val="00EB6277"/>
    <w:rsid w:val="00EB62AA"/>
    <w:rsid w:val="00EC07AA"/>
    <w:rsid w:val="00EC0D99"/>
    <w:rsid w:val="00EC105D"/>
    <w:rsid w:val="00EC4096"/>
    <w:rsid w:val="00EC43D7"/>
    <w:rsid w:val="00EC5B69"/>
    <w:rsid w:val="00EC6921"/>
    <w:rsid w:val="00ED1786"/>
    <w:rsid w:val="00ED2D16"/>
    <w:rsid w:val="00ED592C"/>
    <w:rsid w:val="00ED649F"/>
    <w:rsid w:val="00ED70E6"/>
    <w:rsid w:val="00EE0AD7"/>
    <w:rsid w:val="00EE0E9F"/>
    <w:rsid w:val="00EE0F05"/>
    <w:rsid w:val="00EE1186"/>
    <w:rsid w:val="00EE15BF"/>
    <w:rsid w:val="00EE1AC1"/>
    <w:rsid w:val="00EE1E58"/>
    <w:rsid w:val="00EE2311"/>
    <w:rsid w:val="00EE27B6"/>
    <w:rsid w:val="00EE309C"/>
    <w:rsid w:val="00EE69F4"/>
    <w:rsid w:val="00EE785F"/>
    <w:rsid w:val="00EF08A2"/>
    <w:rsid w:val="00EF0961"/>
    <w:rsid w:val="00EF0A84"/>
    <w:rsid w:val="00EF109F"/>
    <w:rsid w:val="00EF16E9"/>
    <w:rsid w:val="00EF1A4C"/>
    <w:rsid w:val="00EF1C04"/>
    <w:rsid w:val="00EF32DA"/>
    <w:rsid w:val="00EF3433"/>
    <w:rsid w:val="00EF3588"/>
    <w:rsid w:val="00EF4195"/>
    <w:rsid w:val="00EF59FA"/>
    <w:rsid w:val="00EF6AD2"/>
    <w:rsid w:val="00EF79A7"/>
    <w:rsid w:val="00F02565"/>
    <w:rsid w:val="00F0400F"/>
    <w:rsid w:val="00F043D8"/>
    <w:rsid w:val="00F04865"/>
    <w:rsid w:val="00F06400"/>
    <w:rsid w:val="00F06765"/>
    <w:rsid w:val="00F06BA5"/>
    <w:rsid w:val="00F0714C"/>
    <w:rsid w:val="00F07C59"/>
    <w:rsid w:val="00F102C2"/>
    <w:rsid w:val="00F10E8D"/>
    <w:rsid w:val="00F11E91"/>
    <w:rsid w:val="00F12934"/>
    <w:rsid w:val="00F130A7"/>
    <w:rsid w:val="00F136B3"/>
    <w:rsid w:val="00F13A51"/>
    <w:rsid w:val="00F14CF6"/>
    <w:rsid w:val="00F1697D"/>
    <w:rsid w:val="00F16AC7"/>
    <w:rsid w:val="00F16B38"/>
    <w:rsid w:val="00F178EE"/>
    <w:rsid w:val="00F1791C"/>
    <w:rsid w:val="00F204BB"/>
    <w:rsid w:val="00F21057"/>
    <w:rsid w:val="00F21E2F"/>
    <w:rsid w:val="00F21EE5"/>
    <w:rsid w:val="00F21EEC"/>
    <w:rsid w:val="00F232F6"/>
    <w:rsid w:val="00F24161"/>
    <w:rsid w:val="00F24CE3"/>
    <w:rsid w:val="00F25100"/>
    <w:rsid w:val="00F25E32"/>
    <w:rsid w:val="00F265AC"/>
    <w:rsid w:val="00F26CD4"/>
    <w:rsid w:val="00F279CF"/>
    <w:rsid w:val="00F3040A"/>
    <w:rsid w:val="00F31A0D"/>
    <w:rsid w:val="00F32124"/>
    <w:rsid w:val="00F32315"/>
    <w:rsid w:val="00F32A5D"/>
    <w:rsid w:val="00F34496"/>
    <w:rsid w:val="00F34B62"/>
    <w:rsid w:val="00F3583E"/>
    <w:rsid w:val="00F3592B"/>
    <w:rsid w:val="00F35CFA"/>
    <w:rsid w:val="00F35D5C"/>
    <w:rsid w:val="00F35F4F"/>
    <w:rsid w:val="00F3699D"/>
    <w:rsid w:val="00F36BAF"/>
    <w:rsid w:val="00F36D0C"/>
    <w:rsid w:val="00F373F0"/>
    <w:rsid w:val="00F401C9"/>
    <w:rsid w:val="00F403F3"/>
    <w:rsid w:val="00F405BA"/>
    <w:rsid w:val="00F42D86"/>
    <w:rsid w:val="00F43FBC"/>
    <w:rsid w:val="00F452FE"/>
    <w:rsid w:val="00F45308"/>
    <w:rsid w:val="00F4549A"/>
    <w:rsid w:val="00F46185"/>
    <w:rsid w:val="00F46856"/>
    <w:rsid w:val="00F47B37"/>
    <w:rsid w:val="00F47B7F"/>
    <w:rsid w:val="00F5265F"/>
    <w:rsid w:val="00F54744"/>
    <w:rsid w:val="00F557DD"/>
    <w:rsid w:val="00F5589D"/>
    <w:rsid w:val="00F5717C"/>
    <w:rsid w:val="00F60681"/>
    <w:rsid w:val="00F609A5"/>
    <w:rsid w:val="00F62E8E"/>
    <w:rsid w:val="00F638B0"/>
    <w:rsid w:val="00F64D19"/>
    <w:rsid w:val="00F64F17"/>
    <w:rsid w:val="00F65E5D"/>
    <w:rsid w:val="00F66262"/>
    <w:rsid w:val="00F6668F"/>
    <w:rsid w:val="00F6770E"/>
    <w:rsid w:val="00F67C81"/>
    <w:rsid w:val="00F67E0A"/>
    <w:rsid w:val="00F67F91"/>
    <w:rsid w:val="00F7012F"/>
    <w:rsid w:val="00F70502"/>
    <w:rsid w:val="00F706DF"/>
    <w:rsid w:val="00F71824"/>
    <w:rsid w:val="00F7367F"/>
    <w:rsid w:val="00F73CD2"/>
    <w:rsid w:val="00F77DFF"/>
    <w:rsid w:val="00F8027F"/>
    <w:rsid w:val="00F81037"/>
    <w:rsid w:val="00F81A78"/>
    <w:rsid w:val="00F82B75"/>
    <w:rsid w:val="00F83577"/>
    <w:rsid w:val="00F8377F"/>
    <w:rsid w:val="00F84C75"/>
    <w:rsid w:val="00F8535A"/>
    <w:rsid w:val="00F857F7"/>
    <w:rsid w:val="00F859A8"/>
    <w:rsid w:val="00F85F60"/>
    <w:rsid w:val="00F87072"/>
    <w:rsid w:val="00F9025A"/>
    <w:rsid w:val="00F906F6"/>
    <w:rsid w:val="00F929C1"/>
    <w:rsid w:val="00F92F42"/>
    <w:rsid w:val="00F95D1E"/>
    <w:rsid w:val="00F9636C"/>
    <w:rsid w:val="00F97F1D"/>
    <w:rsid w:val="00FA012A"/>
    <w:rsid w:val="00FA108C"/>
    <w:rsid w:val="00FA110C"/>
    <w:rsid w:val="00FA1487"/>
    <w:rsid w:val="00FA21B8"/>
    <w:rsid w:val="00FA2315"/>
    <w:rsid w:val="00FA2BAB"/>
    <w:rsid w:val="00FA3918"/>
    <w:rsid w:val="00FA45EC"/>
    <w:rsid w:val="00FA54B6"/>
    <w:rsid w:val="00FA6B61"/>
    <w:rsid w:val="00FB02DF"/>
    <w:rsid w:val="00FB25C9"/>
    <w:rsid w:val="00FB2C5C"/>
    <w:rsid w:val="00FB3931"/>
    <w:rsid w:val="00FB4B12"/>
    <w:rsid w:val="00FB4DC3"/>
    <w:rsid w:val="00FB58A6"/>
    <w:rsid w:val="00FB6A11"/>
    <w:rsid w:val="00FB6D08"/>
    <w:rsid w:val="00FC01D5"/>
    <w:rsid w:val="00FC0826"/>
    <w:rsid w:val="00FC11C1"/>
    <w:rsid w:val="00FC1DCE"/>
    <w:rsid w:val="00FC1FCD"/>
    <w:rsid w:val="00FC27C8"/>
    <w:rsid w:val="00FC3360"/>
    <w:rsid w:val="00FC33F7"/>
    <w:rsid w:val="00FC38AC"/>
    <w:rsid w:val="00FC3980"/>
    <w:rsid w:val="00FC4AC1"/>
    <w:rsid w:val="00FC4B50"/>
    <w:rsid w:val="00FC4D2F"/>
    <w:rsid w:val="00FC5236"/>
    <w:rsid w:val="00FC5A93"/>
    <w:rsid w:val="00FC5DD5"/>
    <w:rsid w:val="00FC657E"/>
    <w:rsid w:val="00FC72AF"/>
    <w:rsid w:val="00FD015E"/>
    <w:rsid w:val="00FD162A"/>
    <w:rsid w:val="00FD1801"/>
    <w:rsid w:val="00FD1B36"/>
    <w:rsid w:val="00FD2E5E"/>
    <w:rsid w:val="00FD3968"/>
    <w:rsid w:val="00FD4BD7"/>
    <w:rsid w:val="00FD50DC"/>
    <w:rsid w:val="00FD5436"/>
    <w:rsid w:val="00FD5507"/>
    <w:rsid w:val="00FD5D31"/>
    <w:rsid w:val="00FD6293"/>
    <w:rsid w:val="00FD7372"/>
    <w:rsid w:val="00FE1871"/>
    <w:rsid w:val="00FE199E"/>
    <w:rsid w:val="00FE1C20"/>
    <w:rsid w:val="00FE2268"/>
    <w:rsid w:val="00FE26E8"/>
    <w:rsid w:val="00FE2AB6"/>
    <w:rsid w:val="00FE2B71"/>
    <w:rsid w:val="00FE3465"/>
    <w:rsid w:val="00FE395F"/>
    <w:rsid w:val="00FE416D"/>
    <w:rsid w:val="00FE4C92"/>
    <w:rsid w:val="00FE55DB"/>
    <w:rsid w:val="00FE5E71"/>
    <w:rsid w:val="00FE6977"/>
    <w:rsid w:val="00FE6E09"/>
    <w:rsid w:val="00FF0469"/>
    <w:rsid w:val="00FF3BD0"/>
    <w:rsid w:val="00FF48EF"/>
    <w:rsid w:val="00FF51A8"/>
    <w:rsid w:val="00FF6BAA"/>
    <w:rsid w:val="00FF704F"/>
    <w:rsid w:val="00FF7856"/>
    <w:rsid w:val="00FF7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B32955"/>
    <w:rPr>
      <w:sz w:val="24"/>
      <w:szCs w:val="24"/>
    </w:rPr>
  </w:style>
  <w:style w:type="paragraph" w:styleId="Titolo1">
    <w:name w:val="heading 1"/>
    <w:basedOn w:val="Normale"/>
    <w:next w:val="Normale"/>
    <w:link w:val="Titolo1Carattere"/>
    <w:uiPriority w:val="99"/>
    <w:qFormat/>
    <w:rsid w:val="00DF0288"/>
    <w:pPr>
      <w:keepNext/>
      <w:tabs>
        <w:tab w:val="num" w:pos="360"/>
      </w:tabs>
      <w:ind w:left="360" w:hanging="360"/>
      <w:jc w:val="both"/>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DF0288"/>
    <w:pPr>
      <w:keepNext/>
      <w:numPr>
        <w:ilvl w:val="1"/>
        <w:numId w:val="6"/>
      </w:numPr>
      <w:outlineLvl w:val="1"/>
    </w:pPr>
    <w:rPr>
      <w:b/>
      <w:sz w:val="44"/>
      <w:szCs w:val="20"/>
    </w:rPr>
  </w:style>
  <w:style w:type="paragraph" w:styleId="Titolo3">
    <w:name w:val="heading 3"/>
    <w:basedOn w:val="Normale"/>
    <w:next w:val="Normale"/>
    <w:link w:val="Titolo3Carattere"/>
    <w:uiPriority w:val="99"/>
    <w:qFormat/>
    <w:rsid w:val="00DF0288"/>
    <w:pPr>
      <w:keepNext/>
      <w:numPr>
        <w:ilvl w:val="2"/>
        <w:numId w:val="6"/>
      </w:numPr>
      <w:jc w:val="both"/>
      <w:outlineLvl w:val="2"/>
    </w:pPr>
    <w:rPr>
      <w:b/>
      <w:sz w:val="28"/>
      <w:szCs w:val="20"/>
    </w:rPr>
  </w:style>
  <w:style w:type="paragraph" w:styleId="Titolo4">
    <w:name w:val="heading 4"/>
    <w:basedOn w:val="Normale"/>
    <w:next w:val="Normale"/>
    <w:link w:val="Titolo4Carattere"/>
    <w:uiPriority w:val="99"/>
    <w:qFormat/>
    <w:rsid w:val="00DF0288"/>
    <w:pPr>
      <w:keepNext/>
      <w:numPr>
        <w:ilvl w:val="3"/>
        <w:numId w:val="6"/>
      </w:numPr>
      <w:spacing w:after="120"/>
      <w:jc w:val="both"/>
      <w:outlineLvl w:val="3"/>
    </w:pPr>
    <w:rPr>
      <w:i/>
      <w:szCs w:val="20"/>
      <w:u w:val="single"/>
    </w:rPr>
  </w:style>
  <w:style w:type="paragraph" w:styleId="Titolo5">
    <w:name w:val="heading 5"/>
    <w:basedOn w:val="Normale"/>
    <w:next w:val="Normale"/>
    <w:link w:val="Titolo5Carattere"/>
    <w:uiPriority w:val="99"/>
    <w:qFormat/>
    <w:rsid w:val="00DF0288"/>
    <w:pPr>
      <w:keepNext/>
      <w:numPr>
        <w:ilvl w:val="4"/>
        <w:numId w:val="6"/>
      </w:numPr>
      <w:spacing w:after="120"/>
      <w:jc w:val="both"/>
      <w:outlineLvl w:val="4"/>
    </w:pPr>
    <w:rPr>
      <w:szCs w:val="20"/>
    </w:rPr>
  </w:style>
  <w:style w:type="paragraph" w:styleId="Titolo6">
    <w:name w:val="heading 6"/>
    <w:basedOn w:val="Normale"/>
    <w:next w:val="Normale"/>
    <w:link w:val="Titolo6Carattere"/>
    <w:uiPriority w:val="99"/>
    <w:qFormat/>
    <w:rsid w:val="00DF0288"/>
    <w:pPr>
      <w:keepNext/>
      <w:numPr>
        <w:ilvl w:val="5"/>
        <w:numId w:val="6"/>
      </w:numPr>
      <w:spacing w:after="120"/>
      <w:jc w:val="both"/>
      <w:outlineLvl w:val="5"/>
    </w:pPr>
    <w:rPr>
      <w:szCs w:val="20"/>
    </w:rPr>
  </w:style>
  <w:style w:type="paragraph" w:styleId="Titolo7">
    <w:name w:val="heading 7"/>
    <w:basedOn w:val="Normale"/>
    <w:next w:val="Normale"/>
    <w:link w:val="Titolo7Carattere"/>
    <w:uiPriority w:val="99"/>
    <w:qFormat/>
    <w:rsid w:val="00DF0288"/>
    <w:pPr>
      <w:keepNext/>
      <w:numPr>
        <w:ilvl w:val="6"/>
        <w:numId w:val="6"/>
      </w:numPr>
      <w:jc w:val="center"/>
      <w:outlineLvl w:val="6"/>
    </w:pPr>
    <w:rPr>
      <w:b/>
      <w:i/>
      <w:sz w:val="16"/>
      <w:szCs w:val="20"/>
    </w:rPr>
  </w:style>
  <w:style w:type="paragraph" w:styleId="Titolo8">
    <w:name w:val="heading 8"/>
    <w:basedOn w:val="Normale"/>
    <w:next w:val="Normale"/>
    <w:link w:val="Titolo8Carattere"/>
    <w:uiPriority w:val="99"/>
    <w:qFormat/>
    <w:rsid w:val="00DF0288"/>
    <w:pPr>
      <w:keepNext/>
      <w:numPr>
        <w:ilvl w:val="7"/>
        <w:numId w:val="6"/>
      </w:numPr>
      <w:jc w:val="center"/>
      <w:outlineLvl w:val="7"/>
    </w:pPr>
    <w:rPr>
      <w:b/>
      <w:sz w:val="40"/>
      <w:szCs w:val="20"/>
    </w:rPr>
  </w:style>
  <w:style w:type="paragraph" w:styleId="Titolo9">
    <w:name w:val="heading 9"/>
    <w:basedOn w:val="Normale"/>
    <w:next w:val="Normale"/>
    <w:link w:val="Titolo9Carattere"/>
    <w:uiPriority w:val="99"/>
    <w:qFormat/>
    <w:rsid w:val="00DF0288"/>
    <w:pPr>
      <w:keepNext/>
      <w:numPr>
        <w:ilvl w:val="8"/>
        <w:numId w:val="6"/>
      </w:numPr>
      <w:jc w:val="both"/>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84686"/>
    <w:rPr>
      <w:rFonts w:ascii="Cambria" w:hAnsi="Cambria"/>
      <w:b/>
      <w:bCs/>
      <w:kern w:val="32"/>
      <w:sz w:val="32"/>
      <w:szCs w:val="32"/>
    </w:rPr>
  </w:style>
  <w:style w:type="character" w:customStyle="1" w:styleId="Titolo2Carattere">
    <w:name w:val="Titolo 2 Carattere"/>
    <w:basedOn w:val="Carpredefinitoparagrafo"/>
    <w:link w:val="Titolo2"/>
    <w:uiPriority w:val="99"/>
    <w:locked/>
    <w:rsid w:val="00A84686"/>
    <w:rPr>
      <w:b/>
      <w:sz w:val="44"/>
      <w:szCs w:val="20"/>
    </w:rPr>
  </w:style>
  <w:style w:type="character" w:customStyle="1" w:styleId="Titolo3Carattere">
    <w:name w:val="Titolo 3 Carattere"/>
    <w:basedOn w:val="Carpredefinitoparagrafo"/>
    <w:link w:val="Titolo3"/>
    <w:uiPriority w:val="99"/>
    <w:locked/>
    <w:rsid w:val="00A84686"/>
    <w:rPr>
      <w:b/>
      <w:sz w:val="28"/>
      <w:szCs w:val="20"/>
    </w:rPr>
  </w:style>
  <w:style w:type="character" w:customStyle="1" w:styleId="Titolo4Carattere">
    <w:name w:val="Titolo 4 Carattere"/>
    <w:basedOn w:val="Carpredefinitoparagrafo"/>
    <w:link w:val="Titolo4"/>
    <w:uiPriority w:val="99"/>
    <w:locked/>
    <w:rsid w:val="00A84686"/>
    <w:rPr>
      <w:i/>
      <w:sz w:val="24"/>
      <w:szCs w:val="20"/>
      <w:u w:val="single"/>
    </w:rPr>
  </w:style>
  <w:style w:type="character" w:customStyle="1" w:styleId="Titolo5Carattere">
    <w:name w:val="Titolo 5 Carattere"/>
    <w:basedOn w:val="Carpredefinitoparagrafo"/>
    <w:link w:val="Titolo5"/>
    <w:uiPriority w:val="99"/>
    <w:locked/>
    <w:rsid w:val="00A84686"/>
    <w:rPr>
      <w:sz w:val="24"/>
      <w:szCs w:val="20"/>
    </w:rPr>
  </w:style>
  <w:style w:type="character" w:customStyle="1" w:styleId="Titolo6Carattere">
    <w:name w:val="Titolo 6 Carattere"/>
    <w:basedOn w:val="Carpredefinitoparagrafo"/>
    <w:link w:val="Titolo6"/>
    <w:uiPriority w:val="99"/>
    <w:locked/>
    <w:rsid w:val="00A84686"/>
    <w:rPr>
      <w:sz w:val="24"/>
      <w:szCs w:val="20"/>
    </w:rPr>
  </w:style>
  <w:style w:type="character" w:customStyle="1" w:styleId="Titolo7Carattere">
    <w:name w:val="Titolo 7 Carattere"/>
    <w:basedOn w:val="Carpredefinitoparagrafo"/>
    <w:link w:val="Titolo7"/>
    <w:uiPriority w:val="99"/>
    <w:locked/>
    <w:rsid w:val="00A84686"/>
    <w:rPr>
      <w:b/>
      <w:i/>
      <w:sz w:val="16"/>
      <w:szCs w:val="20"/>
    </w:rPr>
  </w:style>
  <w:style w:type="character" w:customStyle="1" w:styleId="Titolo8Carattere">
    <w:name w:val="Titolo 8 Carattere"/>
    <w:basedOn w:val="Carpredefinitoparagrafo"/>
    <w:link w:val="Titolo8"/>
    <w:uiPriority w:val="99"/>
    <w:locked/>
    <w:rsid w:val="00A84686"/>
    <w:rPr>
      <w:b/>
      <w:sz w:val="40"/>
      <w:szCs w:val="20"/>
    </w:rPr>
  </w:style>
  <w:style w:type="character" w:customStyle="1" w:styleId="Titolo9Carattere">
    <w:name w:val="Titolo 9 Carattere"/>
    <w:basedOn w:val="Carpredefinitoparagrafo"/>
    <w:link w:val="Titolo9"/>
    <w:uiPriority w:val="99"/>
    <w:locked/>
    <w:rsid w:val="00A84686"/>
    <w:rPr>
      <w:i/>
      <w:sz w:val="24"/>
      <w:szCs w:val="20"/>
    </w:rPr>
  </w:style>
  <w:style w:type="paragraph" w:styleId="Intestazione">
    <w:name w:val="header"/>
    <w:basedOn w:val="Normale"/>
    <w:link w:val="IntestazioneCarattere"/>
    <w:uiPriority w:val="99"/>
    <w:rsid w:val="00DF028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84686"/>
    <w:rPr>
      <w:rFonts w:cs="Times New Roman"/>
      <w:sz w:val="24"/>
    </w:rPr>
  </w:style>
  <w:style w:type="paragraph" w:styleId="Pidipagina">
    <w:name w:val="footer"/>
    <w:basedOn w:val="Normale"/>
    <w:link w:val="PidipaginaCarattere"/>
    <w:uiPriority w:val="99"/>
    <w:rsid w:val="00DF028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84686"/>
    <w:rPr>
      <w:rFonts w:cs="Times New Roman"/>
      <w:sz w:val="24"/>
    </w:rPr>
  </w:style>
  <w:style w:type="character" w:styleId="Numeropagina">
    <w:name w:val="page number"/>
    <w:basedOn w:val="Carpredefinitoparagrafo"/>
    <w:uiPriority w:val="99"/>
    <w:rsid w:val="00DF0288"/>
    <w:rPr>
      <w:rFonts w:cs="Times New Roman"/>
    </w:rPr>
  </w:style>
  <w:style w:type="paragraph" w:styleId="Rientrocorpodeltesto">
    <w:name w:val="Body Text Indent"/>
    <w:basedOn w:val="Normale"/>
    <w:link w:val="RientrocorpodeltestoCarattere"/>
    <w:uiPriority w:val="99"/>
    <w:rsid w:val="00DF0288"/>
    <w:pPr>
      <w:ind w:left="142" w:hanging="142"/>
      <w:jc w:val="both"/>
    </w:pPr>
  </w:style>
  <w:style w:type="character" w:customStyle="1" w:styleId="RientrocorpodeltestoCarattere">
    <w:name w:val="Rientro corpo del testo Carattere"/>
    <w:basedOn w:val="Carpredefinitoparagrafo"/>
    <w:link w:val="Rientrocorpodeltesto"/>
    <w:uiPriority w:val="99"/>
    <w:semiHidden/>
    <w:locked/>
    <w:rsid w:val="00A84686"/>
    <w:rPr>
      <w:rFonts w:cs="Times New Roman"/>
      <w:sz w:val="24"/>
    </w:rPr>
  </w:style>
  <w:style w:type="paragraph" w:customStyle="1" w:styleId="Corpotesto1">
    <w:name w:val="Corpo testo1"/>
    <w:basedOn w:val="Normale"/>
    <w:uiPriority w:val="99"/>
    <w:rsid w:val="00DF0288"/>
    <w:rPr>
      <w:sz w:val="28"/>
      <w:szCs w:val="20"/>
    </w:rPr>
  </w:style>
  <w:style w:type="paragraph" w:styleId="Corpodeltesto2">
    <w:name w:val="Body Text 2"/>
    <w:basedOn w:val="Normale"/>
    <w:link w:val="Corpodeltesto2Carattere"/>
    <w:uiPriority w:val="99"/>
    <w:rsid w:val="00DF0288"/>
    <w:pPr>
      <w:jc w:val="both"/>
    </w:pPr>
    <w:rPr>
      <w:sz w:val="32"/>
      <w:szCs w:val="20"/>
    </w:rPr>
  </w:style>
  <w:style w:type="character" w:customStyle="1" w:styleId="Corpodeltesto2Carattere">
    <w:name w:val="Corpo del testo 2 Carattere"/>
    <w:basedOn w:val="Carpredefinitoparagrafo"/>
    <w:link w:val="Corpodeltesto2"/>
    <w:uiPriority w:val="99"/>
    <w:locked/>
    <w:rsid w:val="001E3144"/>
    <w:rPr>
      <w:rFonts w:cs="Times New Roman"/>
      <w:sz w:val="32"/>
    </w:rPr>
  </w:style>
  <w:style w:type="paragraph" w:styleId="Titolo">
    <w:name w:val="Title"/>
    <w:basedOn w:val="Normale"/>
    <w:link w:val="TitoloCarattere"/>
    <w:uiPriority w:val="99"/>
    <w:qFormat/>
    <w:rsid w:val="00DF0288"/>
    <w:pPr>
      <w:jc w:val="center"/>
    </w:pPr>
    <w:rPr>
      <w:rFonts w:ascii="Cambria" w:hAnsi="Cambria"/>
      <w:b/>
      <w:bCs/>
      <w:kern w:val="28"/>
      <w:sz w:val="32"/>
      <w:szCs w:val="32"/>
    </w:rPr>
  </w:style>
  <w:style w:type="character" w:customStyle="1" w:styleId="TitoloCarattere">
    <w:name w:val="Titolo Carattere"/>
    <w:basedOn w:val="Carpredefinitoparagrafo"/>
    <w:link w:val="Titolo"/>
    <w:uiPriority w:val="99"/>
    <w:locked/>
    <w:rsid w:val="00A84686"/>
    <w:rPr>
      <w:rFonts w:ascii="Cambria" w:hAnsi="Cambria" w:cs="Times New Roman"/>
      <w:b/>
      <w:kern w:val="28"/>
      <w:sz w:val="32"/>
    </w:rPr>
  </w:style>
  <w:style w:type="paragraph" w:styleId="Sottotitolo">
    <w:name w:val="Subtitle"/>
    <w:basedOn w:val="Normale"/>
    <w:link w:val="SottotitoloCarattere"/>
    <w:uiPriority w:val="99"/>
    <w:qFormat/>
    <w:rsid w:val="00DF0288"/>
    <w:pPr>
      <w:jc w:val="center"/>
    </w:pPr>
    <w:rPr>
      <w:rFonts w:ascii="Cambria" w:hAnsi="Cambria"/>
    </w:rPr>
  </w:style>
  <w:style w:type="character" w:customStyle="1" w:styleId="SottotitoloCarattere">
    <w:name w:val="Sottotitolo Carattere"/>
    <w:basedOn w:val="Carpredefinitoparagrafo"/>
    <w:link w:val="Sottotitolo"/>
    <w:uiPriority w:val="99"/>
    <w:locked/>
    <w:rsid w:val="00A84686"/>
    <w:rPr>
      <w:rFonts w:ascii="Cambria" w:hAnsi="Cambria" w:cs="Times New Roman"/>
      <w:sz w:val="24"/>
    </w:rPr>
  </w:style>
  <w:style w:type="paragraph" w:styleId="Rientrocorpodeltesto2">
    <w:name w:val="Body Text Indent 2"/>
    <w:basedOn w:val="Normale"/>
    <w:link w:val="Rientrocorpodeltesto2Carattere"/>
    <w:uiPriority w:val="99"/>
    <w:rsid w:val="00DF0288"/>
    <w:pPr>
      <w:ind w:firstLine="360"/>
      <w:jc w:val="both"/>
    </w:pPr>
  </w:style>
  <w:style w:type="character" w:customStyle="1" w:styleId="Rientrocorpodeltesto2Carattere">
    <w:name w:val="Rientro corpo del testo 2 Carattere"/>
    <w:basedOn w:val="Carpredefinitoparagrafo"/>
    <w:link w:val="Rientrocorpodeltesto2"/>
    <w:uiPriority w:val="99"/>
    <w:semiHidden/>
    <w:locked/>
    <w:rsid w:val="00A84686"/>
    <w:rPr>
      <w:rFonts w:cs="Times New Roman"/>
      <w:sz w:val="24"/>
    </w:rPr>
  </w:style>
  <w:style w:type="paragraph" w:styleId="Rientrocorpodeltesto3">
    <w:name w:val="Body Text Indent 3"/>
    <w:basedOn w:val="Normale"/>
    <w:link w:val="Rientrocorpodeltesto3Carattere"/>
    <w:uiPriority w:val="99"/>
    <w:rsid w:val="00DF0288"/>
    <w:pPr>
      <w:ind w:firstLine="708"/>
      <w:jc w:val="both"/>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A84686"/>
    <w:rPr>
      <w:rFonts w:cs="Times New Roman"/>
      <w:sz w:val="16"/>
    </w:rPr>
  </w:style>
  <w:style w:type="paragraph" w:styleId="Corpodeltesto3">
    <w:name w:val="Body Text 3"/>
    <w:basedOn w:val="Normale"/>
    <w:link w:val="Corpodeltesto3Carattere"/>
    <w:uiPriority w:val="99"/>
    <w:rsid w:val="00DF0288"/>
    <w:pPr>
      <w:jc w:val="both"/>
    </w:pPr>
    <w:rPr>
      <w:sz w:val="16"/>
      <w:szCs w:val="16"/>
    </w:rPr>
  </w:style>
  <w:style w:type="character" w:customStyle="1" w:styleId="Corpodeltesto3Carattere">
    <w:name w:val="Corpo del testo 3 Carattere"/>
    <w:basedOn w:val="Carpredefinitoparagrafo"/>
    <w:link w:val="Corpodeltesto3"/>
    <w:uiPriority w:val="99"/>
    <w:semiHidden/>
    <w:locked/>
    <w:rsid w:val="00A84686"/>
    <w:rPr>
      <w:rFonts w:cs="Times New Roman"/>
      <w:sz w:val="16"/>
    </w:rPr>
  </w:style>
  <w:style w:type="paragraph" w:styleId="Sommario2">
    <w:name w:val="toc 2"/>
    <w:basedOn w:val="Sommario1"/>
    <w:autoRedefine/>
    <w:uiPriority w:val="99"/>
    <w:rsid w:val="00194652"/>
    <w:pPr>
      <w:tabs>
        <w:tab w:val="left" w:pos="1000"/>
        <w:tab w:val="left" w:pos="1080"/>
      </w:tabs>
      <w:ind w:left="200"/>
    </w:pPr>
    <w:rPr>
      <w:rFonts w:ascii="Verdana" w:hAnsi="Verdana" w:cs="Tahoma"/>
      <w:iCs w:val="0"/>
      <w:sz w:val="18"/>
      <w:szCs w:val="18"/>
    </w:rPr>
  </w:style>
  <w:style w:type="paragraph" w:styleId="Sommario1">
    <w:name w:val="toc 1"/>
    <w:basedOn w:val="Normale"/>
    <w:next w:val="Normale"/>
    <w:autoRedefine/>
    <w:uiPriority w:val="99"/>
    <w:rsid w:val="00194652"/>
    <w:pPr>
      <w:tabs>
        <w:tab w:val="left" w:pos="360"/>
        <w:tab w:val="left" w:pos="540"/>
        <w:tab w:val="right" w:leader="underscore" w:pos="9628"/>
      </w:tabs>
      <w:spacing w:before="120" w:line="360" w:lineRule="auto"/>
      <w:jc w:val="center"/>
    </w:pPr>
    <w:rPr>
      <w:rFonts w:ascii="Arial" w:hAnsi="Arial" w:cs="Arial"/>
      <w:b/>
      <w:bCs/>
      <w:iCs/>
      <w:noProof/>
      <w:sz w:val="20"/>
      <w:szCs w:val="20"/>
    </w:rPr>
  </w:style>
  <w:style w:type="paragraph" w:styleId="Testonotaapidipagina">
    <w:name w:val="footnote text"/>
    <w:basedOn w:val="Normale"/>
    <w:link w:val="TestonotaapidipaginaCarattere"/>
    <w:uiPriority w:val="99"/>
    <w:semiHidden/>
    <w:rsid w:val="00DF0288"/>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84686"/>
    <w:rPr>
      <w:rFonts w:cs="Times New Roman"/>
      <w:sz w:val="20"/>
    </w:rPr>
  </w:style>
  <w:style w:type="character" w:styleId="Rimandonotaapidipagina">
    <w:name w:val="footnote reference"/>
    <w:basedOn w:val="Carpredefinitoparagrafo"/>
    <w:uiPriority w:val="99"/>
    <w:semiHidden/>
    <w:rsid w:val="00DF0288"/>
    <w:rPr>
      <w:rFonts w:cs="Times New Roman"/>
      <w:vertAlign w:val="superscript"/>
    </w:rPr>
  </w:style>
  <w:style w:type="paragraph" w:styleId="NormaleWeb">
    <w:name w:val="Normal (Web)"/>
    <w:basedOn w:val="Normale"/>
    <w:uiPriority w:val="99"/>
    <w:rsid w:val="00DF0288"/>
    <w:pPr>
      <w:spacing w:before="100" w:beforeAutospacing="1" w:after="100" w:afterAutospacing="1"/>
    </w:pPr>
    <w:rPr>
      <w:rFonts w:ascii="Arial" w:hAnsi="Arial" w:cs="Arial"/>
      <w:color w:val="000000"/>
      <w:sz w:val="20"/>
      <w:szCs w:val="20"/>
    </w:rPr>
  </w:style>
  <w:style w:type="paragraph" w:customStyle="1" w:styleId="txbrp12">
    <w:name w:val="txbrp12"/>
    <w:basedOn w:val="Normale"/>
    <w:uiPriority w:val="99"/>
    <w:rsid w:val="00DF0288"/>
    <w:pPr>
      <w:spacing w:before="100" w:beforeAutospacing="1" w:after="100" w:afterAutospacing="1"/>
    </w:pPr>
    <w:rPr>
      <w:rFonts w:ascii="Arial" w:hAnsi="Arial" w:cs="Arial"/>
      <w:color w:val="000000"/>
      <w:sz w:val="20"/>
      <w:szCs w:val="20"/>
    </w:rPr>
  </w:style>
  <w:style w:type="character" w:styleId="Collegamentoipertestuale">
    <w:name w:val="Hyperlink"/>
    <w:basedOn w:val="Carpredefinitoparagrafo"/>
    <w:uiPriority w:val="99"/>
    <w:rsid w:val="00DF0288"/>
    <w:rPr>
      <w:rFonts w:cs="Times New Roman"/>
      <w:color w:val="0000FF"/>
      <w:u w:val="single"/>
    </w:rPr>
  </w:style>
  <w:style w:type="paragraph" w:customStyle="1" w:styleId="xl24">
    <w:name w:val="xl24"/>
    <w:basedOn w:val="Normale"/>
    <w:uiPriority w:val="99"/>
    <w:rsid w:val="00DF02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e"/>
    <w:uiPriority w:val="99"/>
    <w:rsid w:val="00DF02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e"/>
    <w:uiPriority w:val="99"/>
    <w:rsid w:val="00DF0288"/>
    <w:pPr>
      <w:spacing w:before="100" w:beforeAutospacing="1" w:after="100" w:afterAutospacing="1"/>
      <w:textAlignment w:val="top"/>
    </w:pPr>
    <w:rPr>
      <w:rFonts w:ascii="Arial Unicode MS" w:hAnsi="Arial Unicode MS"/>
    </w:rPr>
  </w:style>
  <w:style w:type="paragraph" w:customStyle="1" w:styleId="xl27">
    <w:name w:val="xl27"/>
    <w:basedOn w:val="Normale"/>
    <w:uiPriority w:val="99"/>
    <w:rsid w:val="00DF0288"/>
    <w:pPr>
      <w:spacing w:before="100" w:beforeAutospacing="1" w:after="100" w:afterAutospacing="1"/>
      <w:textAlignment w:val="top"/>
    </w:pPr>
    <w:rPr>
      <w:rFonts w:ascii="Arial" w:hAnsi="Arial" w:cs="Arial"/>
      <w:sz w:val="16"/>
      <w:szCs w:val="16"/>
    </w:rPr>
  </w:style>
  <w:style w:type="paragraph" w:customStyle="1" w:styleId="xl28">
    <w:name w:val="xl28"/>
    <w:basedOn w:val="Normale"/>
    <w:uiPriority w:val="99"/>
    <w:rsid w:val="00DF0288"/>
    <w:pPr>
      <w:spacing w:before="100" w:beforeAutospacing="1" w:after="100" w:afterAutospacing="1"/>
    </w:pPr>
    <w:rPr>
      <w:rFonts w:ascii="Arial" w:hAnsi="Arial" w:cs="Arial"/>
      <w:sz w:val="16"/>
      <w:szCs w:val="16"/>
    </w:rPr>
  </w:style>
  <w:style w:type="paragraph" w:customStyle="1" w:styleId="xl29">
    <w:name w:val="xl29"/>
    <w:basedOn w:val="Normale"/>
    <w:uiPriority w:val="99"/>
    <w:rsid w:val="00DF0288"/>
    <w:pPr>
      <w:spacing w:before="100" w:beforeAutospacing="1" w:after="100" w:afterAutospacing="1"/>
      <w:textAlignment w:val="center"/>
    </w:pPr>
    <w:rPr>
      <w:rFonts w:ascii="Arial" w:hAnsi="Arial" w:cs="Arial"/>
      <w:sz w:val="16"/>
      <w:szCs w:val="16"/>
    </w:rPr>
  </w:style>
  <w:style w:type="paragraph" w:customStyle="1" w:styleId="xl30">
    <w:name w:val="xl30"/>
    <w:basedOn w:val="Normale"/>
    <w:uiPriority w:val="99"/>
    <w:rsid w:val="00DF0288"/>
    <w:pPr>
      <w:spacing w:before="100" w:beforeAutospacing="1" w:after="100" w:afterAutospacing="1"/>
      <w:textAlignment w:val="center"/>
    </w:pPr>
    <w:rPr>
      <w:rFonts w:ascii="Arial Unicode MS" w:hAnsi="Arial Unicode MS"/>
    </w:rPr>
  </w:style>
  <w:style w:type="paragraph" w:customStyle="1" w:styleId="xl31">
    <w:name w:val="xl31"/>
    <w:basedOn w:val="Normale"/>
    <w:uiPriority w:val="99"/>
    <w:rsid w:val="00DF0288"/>
    <w:pPr>
      <w:spacing w:before="100" w:beforeAutospacing="1" w:after="100" w:afterAutospacing="1"/>
      <w:jc w:val="center"/>
      <w:textAlignment w:val="top"/>
    </w:pPr>
    <w:rPr>
      <w:rFonts w:ascii="Arial" w:hAnsi="Arial" w:cs="Arial"/>
      <w:sz w:val="16"/>
      <w:szCs w:val="16"/>
    </w:rPr>
  </w:style>
  <w:style w:type="paragraph" w:customStyle="1" w:styleId="xl32">
    <w:name w:val="xl32"/>
    <w:basedOn w:val="Normale"/>
    <w:uiPriority w:val="99"/>
    <w:rsid w:val="00DF02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3">
    <w:name w:val="xl33"/>
    <w:basedOn w:val="Normale"/>
    <w:uiPriority w:val="99"/>
    <w:rsid w:val="00DF0288"/>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34">
    <w:name w:val="xl34"/>
    <w:basedOn w:val="Normale"/>
    <w:uiPriority w:val="99"/>
    <w:rsid w:val="00DF0288"/>
    <w:pPr>
      <w:spacing w:before="100" w:beforeAutospacing="1" w:after="100" w:afterAutospacing="1"/>
      <w:textAlignment w:val="top"/>
    </w:pPr>
    <w:rPr>
      <w:rFonts w:ascii="Arial" w:hAnsi="Arial" w:cs="Arial"/>
      <w:b/>
      <w:bCs/>
      <w:sz w:val="16"/>
      <w:szCs w:val="16"/>
    </w:rPr>
  </w:style>
  <w:style w:type="paragraph" w:customStyle="1" w:styleId="xl35">
    <w:name w:val="xl35"/>
    <w:basedOn w:val="Normale"/>
    <w:uiPriority w:val="99"/>
    <w:rsid w:val="00DF0288"/>
    <w:pPr>
      <w:spacing w:before="100" w:beforeAutospacing="1" w:after="100" w:afterAutospacing="1"/>
      <w:jc w:val="center"/>
      <w:textAlignment w:val="center"/>
    </w:pPr>
    <w:rPr>
      <w:rFonts w:ascii="Arial" w:hAnsi="Arial" w:cs="Arial"/>
      <w:b/>
      <w:bCs/>
      <w:sz w:val="16"/>
      <w:szCs w:val="16"/>
    </w:rPr>
  </w:style>
  <w:style w:type="paragraph" w:customStyle="1" w:styleId="xl36">
    <w:name w:val="xl36"/>
    <w:basedOn w:val="Normale"/>
    <w:uiPriority w:val="99"/>
    <w:rsid w:val="00DF0288"/>
    <w:pPr>
      <w:spacing w:before="100" w:beforeAutospacing="1" w:after="100" w:afterAutospacing="1"/>
      <w:textAlignment w:val="center"/>
    </w:pPr>
    <w:rPr>
      <w:rFonts w:ascii="Arial" w:hAnsi="Arial" w:cs="Arial"/>
      <w:b/>
      <w:bCs/>
      <w:sz w:val="16"/>
      <w:szCs w:val="16"/>
    </w:rPr>
  </w:style>
  <w:style w:type="paragraph" w:customStyle="1" w:styleId="xl37">
    <w:name w:val="xl37"/>
    <w:basedOn w:val="Normale"/>
    <w:uiPriority w:val="99"/>
    <w:rsid w:val="00DF02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8">
    <w:name w:val="xl38"/>
    <w:basedOn w:val="Normale"/>
    <w:uiPriority w:val="99"/>
    <w:rsid w:val="00DF0288"/>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9">
    <w:name w:val="xl39"/>
    <w:basedOn w:val="Normale"/>
    <w:uiPriority w:val="99"/>
    <w:rsid w:val="00DF028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0">
    <w:name w:val="xl40"/>
    <w:basedOn w:val="Normale"/>
    <w:uiPriority w:val="99"/>
    <w:rsid w:val="00DF02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1">
    <w:name w:val="xl41"/>
    <w:basedOn w:val="Normale"/>
    <w:uiPriority w:val="99"/>
    <w:rsid w:val="00DF0288"/>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42">
    <w:name w:val="xl42"/>
    <w:basedOn w:val="Normale"/>
    <w:uiPriority w:val="99"/>
    <w:rsid w:val="00DF028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e"/>
    <w:uiPriority w:val="99"/>
    <w:rsid w:val="00DF028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44">
    <w:name w:val="xl44"/>
    <w:basedOn w:val="Normale"/>
    <w:uiPriority w:val="99"/>
    <w:rsid w:val="00DF028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5">
    <w:name w:val="xl45"/>
    <w:basedOn w:val="Normale"/>
    <w:uiPriority w:val="99"/>
    <w:rsid w:val="00DF028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46">
    <w:name w:val="xl46"/>
    <w:basedOn w:val="Normale"/>
    <w:uiPriority w:val="99"/>
    <w:rsid w:val="00DF028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7">
    <w:name w:val="xl47"/>
    <w:basedOn w:val="Normale"/>
    <w:uiPriority w:val="99"/>
    <w:rsid w:val="00DF028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8">
    <w:name w:val="xl48"/>
    <w:basedOn w:val="Normale"/>
    <w:uiPriority w:val="99"/>
    <w:rsid w:val="00DF028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9">
    <w:name w:val="xl49"/>
    <w:basedOn w:val="Normale"/>
    <w:uiPriority w:val="99"/>
    <w:rsid w:val="00DF028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50">
    <w:name w:val="xl50"/>
    <w:basedOn w:val="Normale"/>
    <w:uiPriority w:val="99"/>
    <w:rsid w:val="00DF02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Default">
    <w:name w:val="Default"/>
    <w:uiPriority w:val="99"/>
    <w:rsid w:val="00DF0288"/>
    <w:pPr>
      <w:autoSpaceDE w:val="0"/>
      <w:autoSpaceDN w:val="0"/>
      <w:adjustRightInd w:val="0"/>
    </w:pPr>
    <w:rPr>
      <w:color w:val="000000"/>
      <w:sz w:val="24"/>
      <w:szCs w:val="24"/>
    </w:rPr>
  </w:style>
  <w:style w:type="table" w:styleId="Grigliatabella">
    <w:name w:val="Table Grid"/>
    <w:basedOn w:val="Tabellanormale"/>
    <w:uiPriority w:val="99"/>
    <w:rsid w:val="00DF02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99"/>
    <w:rsid w:val="007F4699"/>
    <w:pPr>
      <w:tabs>
        <w:tab w:val="right" w:leader="underscore" w:pos="9540"/>
      </w:tabs>
      <w:ind w:left="400" w:right="484"/>
    </w:pPr>
    <w:rPr>
      <w:rFonts w:ascii="Arial" w:hAnsi="Arial" w:cs="Arial"/>
      <w:b/>
      <w:noProof/>
      <w:sz w:val="20"/>
      <w:szCs w:val="20"/>
    </w:rPr>
  </w:style>
  <w:style w:type="paragraph" w:styleId="Sommario4">
    <w:name w:val="toc 4"/>
    <w:basedOn w:val="Normale"/>
    <w:next w:val="Normale"/>
    <w:autoRedefine/>
    <w:uiPriority w:val="99"/>
    <w:semiHidden/>
    <w:rsid w:val="00DF0288"/>
    <w:pPr>
      <w:ind w:left="600"/>
    </w:pPr>
    <w:rPr>
      <w:sz w:val="20"/>
      <w:szCs w:val="20"/>
    </w:rPr>
  </w:style>
  <w:style w:type="paragraph" w:styleId="Sommario5">
    <w:name w:val="toc 5"/>
    <w:basedOn w:val="Normale"/>
    <w:next w:val="Normale"/>
    <w:autoRedefine/>
    <w:uiPriority w:val="99"/>
    <w:semiHidden/>
    <w:rsid w:val="00DF0288"/>
    <w:pPr>
      <w:ind w:left="800"/>
    </w:pPr>
    <w:rPr>
      <w:sz w:val="20"/>
      <w:szCs w:val="20"/>
    </w:rPr>
  </w:style>
  <w:style w:type="paragraph" w:styleId="Sommario6">
    <w:name w:val="toc 6"/>
    <w:basedOn w:val="Normale"/>
    <w:next w:val="Normale"/>
    <w:autoRedefine/>
    <w:uiPriority w:val="99"/>
    <w:semiHidden/>
    <w:rsid w:val="00DF0288"/>
    <w:pPr>
      <w:ind w:left="1000"/>
    </w:pPr>
    <w:rPr>
      <w:sz w:val="20"/>
      <w:szCs w:val="20"/>
    </w:rPr>
  </w:style>
  <w:style w:type="paragraph" w:styleId="Sommario7">
    <w:name w:val="toc 7"/>
    <w:basedOn w:val="Normale"/>
    <w:next w:val="Normale"/>
    <w:autoRedefine/>
    <w:uiPriority w:val="99"/>
    <w:semiHidden/>
    <w:rsid w:val="00DF0288"/>
    <w:pPr>
      <w:ind w:left="1200"/>
    </w:pPr>
    <w:rPr>
      <w:sz w:val="20"/>
      <w:szCs w:val="20"/>
    </w:rPr>
  </w:style>
  <w:style w:type="paragraph" w:styleId="Sommario8">
    <w:name w:val="toc 8"/>
    <w:basedOn w:val="Normale"/>
    <w:next w:val="Normale"/>
    <w:autoRedefine/>
    <w:uiPriority w:val="99"/>
    <w:semiHidden/>
    <w:rsid w:val="00DF0288"/>
    <w:pPr>
      <w:ind w:left="1400"/>
    </w:pPr>
    <w:rPr>
      <w:sz w:val="20"/>
      <w:szCs w:val="20"/>
    </w:rPr>
  </w:style>
  <w:style w:type="paragraph" w:styleId="Sommario9">
    <w:name w:val="toc 9"/>
    <w:basedOn w:val="Normale"/>
    <w:next w:val="Normale"/>
    <w:autoRedefine/>
    <w:uiPriority w:val="99"/>
    <w:semiHidden/>
    <w:rsid w:val="00DF0288"/>
    <w:pPr>
      <w:ind w:left="1600"/>
    </w:pPr>
    <w:rPr>
      <w:sz w:val="20"/>
      <w:szCs w:val="20"/>
    </w:rPr>
  </w:style>
  <w:style w:type="paragraph" w:styleId="Puntoelenco">
    <w:name w:val="List Bullet"/>
    <w:basedOn w:val="Normale"/>
    <w:autoRedefine/>
    <w:uiPriority w:val="99"/>
    <w:rsid w:val="003A33F4"/>
    <w:pPr>
      <w:tabs>
        <w:tab w:val="num" w:pos="360"/>
      </w:tabs>
      <w:ind w:left="360" w:hanging="360"/>
    </w:pPr>
  </w:style>
  <w:style w:type="paragraph" w:styleId="Testofumetto">
    <w:name w:val="Balloon Text"/>
    <w:basedOn w:val="Normale"/>
    <w:link w:val="TestofumettoCarattere"/>
    <w:uiPriority w:val="99"/>
    <w:semiHidden/>
    <w:rsid w:val="0029397B"/>
    <w:rPr>
      <w:sz w:val="2"/>
      <w:szCs w:val="20"/>
    </w:rPr>
  </w:style>
  <w:style w:type="character" w:customStyle="1" w:styleId="TestofumettoCarattere">
    <w:name w:val="Testo fumetto Carattere"/>
    <w:basedOn w:val="Carpredefinitoparagrafo"/>
    <w:link w:val="Testofumetto"/>
    <w:uiPriority w:val="99"/>
    <w:semiHidden/>
    <w:locked/>
    <w:rsid w:val="00A84686"/>
    <w:rPr>
      <w:rFonts w:cs="Times New Roman"/>
      <w:sz w:val="2"/>
    </w:rPr>
  </w:style>
  <w:style w:type="character" w:styleId="Enfasigrassetto">
    <w:name w:val="Strong"/>
    <w:basedOn w:val="Carpredefinitoparagrafo"/>
    <w:uiPriority w:val="99"/>
    <w:qFormat/>
    <w:rsid w:val="005E7AAE"/>
    <w:rPr>
      <w:rFonts w:cs="Times New Roman"/>
      <w:b/>
    </w:rPr>
  </w:style>
  <w:style w:type="paragraph" w:customStyle="1" w:styleId="Stile">
    <w:name w:val="Stile"/>
    <w:basedOn w:val="Normale"/>
    <w:uiPriority w:val="99"/>
    <w:rsid w:val="0082635F"/>
    <w:pPr>
      <w:spacing w:after="160" w:line="240" w:lineRule="exact"/>
    </w:pPr>
    <w:rPr>
      <w:rFonts w:ascii="Arial" w:hAnsi="Arial" w:cs="Arial"/>
      <w:sz w:val="20"/>
      <w:szCs w:val="20"/>
      <w:lang w:val="en-US" w:eastAsia="en-US"/>
    </w:rPr>
  </w:style>
  <w:style w:type="paragraph" w:styleId="Indice2">
    <w:name w:val="index 2"/>
    <w:basedOn w:val="Normale"/>
    <w:next w:val="Normale"/>
    <w:autoRedefine/>
    <w:uiPriority w:val="99"/>
    <w:semiHidden/>
    <w:rsid w:val="00185442"/>
    <w:pPr>
      <w:ind w:left="480" w:hanging="240"/>
    </w:pPr>
  </w:style>
  <w:style w:type="paragraph" w:styleId="Paragrafoelenco">
    <w:name w:val="List Paragraph"/>
    <w:basedOn w:val="Normale"/>
    <w:uiPriority w:val="99"/>
    <w:qFormat/>
    <w:rsid w:val="00896A30"/>
    <w:pPr>
      <w:suppressAutoHyphens/>
      <w:spacing w:after="160" w:line="252" w:lineRule="auto"/>
      <w:ind w:left="720"/>
      <w:contextualSpacing/>
    </w:pPr>
    <w:rPr>
      <w:rFonts w:ascii="Calibri" w:hAnsi="Calibri"/>
      <w:sz w:val="22"/>
      <w:szCs w:val="22"/>
      <w:lang w:eastAsia="zh-CN"/>
    </w:rPr>
  </w:style>
  <w:style w:type="paragraph" w:styleId="Titolosommario">
    <w:name w:val="TOC Heading"/>
    <w:basedOn w:val="Titolo1"/>
    <w:next w:val="Normale"/>
    <w:uiPriority w:val="99"/>
    <w:qFormat/>
    <w:rsid w:val="004D644E"/>
    <w:pPr>
      <w:keepLines/>
      <w:tabs>
        <w:tab w:val="clear" w:pos="360"/>
      </w:tabs>
      <w:spacing w:before="480" w:line="276" w:lineRule="auto"/>
      <w:ind w:left="0" w:firstLine="0"/>
      <w:jc w:val="left"/>
      <w:outlineLvl w:val="9"/>
    </w:pPr>
    <w:rPr>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it-IT" w:eastAsia="it-I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e">
    <w:name w:val="Normal"/>
    <w:qFormat/>
    <w:rsid w:val="00B32955"/>
    <w:rPr>
      <w:sz w:val="24"/>
      <w:szCs w:val="24"/>
    </w:rPr>
  </w:style>
  <w:style w:type="paragraph" w:styleId="Titolo1">
    <w:name w:val="heading 1"/>
    <w:basedOn w:val="Normale"/>
    <w:next w:val="Normale"/>
    <w:link w:val="Titolo1Carattere"/>
    <w:uiPriority w:val="99"/>
    <w:qFormat/>
    <w:rsid w:val="00DF0288"/>
    <w:pPr>
      <w:keepNext/>
      <w:tabs>
        <w:tab w:val="num" w:pos="360"/>
      </w:tabs>
      <w:ind w:left="360" w:hanging="360"/>
      <w:jc w:val="both"/>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DF0288"/>
    <w:pPr>
      <w:keepNext/>
      <w:numPr>
        <w:ilvl w:val="1"/>
        <w:numId w:val="6"/>
      </w:numPr>
      <w:outlineLvl w:val="1"/>
    </w:pPr>
    <w:rPr>
      <w:b/>
      <w:sz w:val="44"/>
      <w:szCs w:val="20"/>
    </w:rPr>
  </w:style>
  <w:style w:type="paragraph" w:styleId="Titolo3">
    <w:name w:val="heading 3"/>
    <w:basedOn w:val="Normale"/>
    <w:next w:val="Normale"/>
    <w:link w:val="Titolo3Carattere"/>
    <w:uiPriority w:val="99"/>
    <w:qFormat/>
    <w:rsid w:val="00DF0288"/>
    <w:pPr>
      <w:keepNext/>
      <w:numPr>
        <w:ilvl w:val="2"/>
        <w:numId w:val="6"/>
      </w:numPr>
      <w:jc w:val="both"/>
      <w:outlineLvl w:val="2"/>
    </w:pPr>
    <w:rPr>
      <w:b/>
      <w:sz w:val="28"/>
      <w:szCs w:val="20"/>
    </w:rPr>
  </w:style>
  <w:style w:type="paragraph" w:styleId="Titolo4">
    <w:name w:val="heading 4"/>
    <w:basedOn w:val="Normale"/>
    <w:next w:val="Normale"/>
    <w:link w:val="Titolo4Carattere"/>
    <w:uiPriority w:val="99"/>
    <w:qFormat/>
    <w:rsid w:val="00DF0288"/>
    <w:pPr>
      <w:keepNext/>
      <w:numPr>
        <w:ilvl w:val="3"/>
        <w:numId w:val="6"/>
      </w:numPr>
      <w:spacing w:after="120"/>
      <w:jc w:val="both"/>
      <w:outlineLvl w:val="3"/>
    </w:pPr>
    <w:rPr>
      <w:i/>
      <w:szCs w:val="20"/>
      <w:u w:val="single"/>
    </w:rPr>
  </w:style>
  <w:style w:type="paragraph" w:styleId="Titolo5">
    <w:name w:val="heading 5"/>
    <w:basedOn w:val="Normale"/>
    <w:next w:val="Normale"/>
    <w:link w:val="Titolo5Carattere"/>
    <w:uiPriority w:val="99"/>
    <w:qFormat/>
    <w:rsid w:val="00DF0288"/>
    <w:pPr>
      <w:keepNext/>
      <w:numPr>
        <w:ilvl w:val="4"/>
        <w:numId w:val="6"/>
      </w:numPr>
      <w:spacing w:after="120"/>
      <w:jc w:val="both"/>
      <w:outlineLvl w:val="4"/>
    </w:pPr>
    <w:rPr>
      <w:szCs w:val="20"/>
    </w:rPr>
  </w:style>
  <w:style w:type="paragraph" w:styleId="Titolo6">
    <w:name w:val="heading 6"/>
    <w:basedOn w:val="Normale"/>
    <w:next w:val="Normale"/>
    <w:link w:val="Titolo6Carattere"/>
    <w:uiPriority w:val="99"/>
    <w:qFormat/>
    <w:rsid w:val="00DF0288"/>
    <w:pPr>
      <w:keepNext/>
      <w:numPr>
        <w:ilvl w:val="5"/>
        <w:numId w:val="6"/>
      </w:numPr>
      <w:spacing w:after="120"/>
      <w:jc w:val="both"/>
      <w:outlineLvl w:val="5"/>
    </w:pPr>
    <w:rPr>
      <w:szCs w:val="20"/>
    </w:rPr>
  </w:style>
  <w:style w:type="paragraph" w:styleId="Titolo7">
    <w:name w:val="heading 7"/>
    <w:basedOn w:val="Normale"/>
    <w:next w:val="Normale"/>
    <w:link w:val="Titolo7Carattere"/>
    <w:uiPriority w:val="99"/>
    <w:qFormat/>
    <w:rsid w:val="00DF0288"/>
    <w:pPr>
      <w:keepNext/>
      <w:numPr>
        <w:ilvl w:val="6"/>
        <w:numId w:val="6"/>
      </w:numPr>
      <w:jc w:val="center"/>
      <w:outlineLvl w:val="6"/>
    </w:pPr>
    <w:rPr>
      <w:b/>
      <w:i/>
      <w:sz w:val="16"/>
      <w:szCs w:val="20"/>
    </w:rPr>
  </w:style>
  <w:style w:type="paragraph" w:styleId="Titolo8">
    <w:name w:val="heading 8"/>
    <w:basedOn w:val="Normale"/>
    <w:next w:val="Normale"/>
    <w:link w:val="Titolo8Carattere"/>
    <w:uiPriority w:val="99"/>
    <w:qFormat/>
    <w:rsid w:val="00DF0288"/>
    <w:pPr>
      <w:keepNext/>
      <w:numPr>
        <w:ilvl w:val="7"/>
        <w:numId w:val="6"/>
      </w:numPr>
      <w:jc w:val="center"/>
      <w:outlineLvl w:val="7"/>
    </w:pPr>
    <w:rPr>
      <w:b/>
      <w:sz w:val="40"/>
      <w:szCs w:val="20"/>
    </w:rPr>
  </w:style>
  <w:style w:type="paragraph" w:styleId="Titolo9">
    <w:name w:val="heading 9"/>
    <w:basedOn w:val="Normale"/>
    <w:next w:val="Normale"/>
    <w:link w:val="Titolo9Carattere"/>
    <w:uiPriority w:val="99"/>
    <w:qFormat/>
    <w:rsid w:val="00DF0288"/>
    <w:pPr>
      <w:keepNext/>
      <w:numPr>
        <w:ilvl w:val="8"/>
        <w:numId w:val="6"/>
      </w:numPr>
      <w:jc w:val="both"/>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A84686"/>
    <w:rPr>
      <w:rFonts w:ascii="Cambria" w:hAnsi="Cambria"/>
      <w:b/>
      <w:bCs/>
      <w:kern w:val="32"/>
      <w:sz w:val="32"/>
      <w:szCs w:val="32"/>
    </w:rPr>
  </w:style>
  <w:style w:type="character" w:customStyle="1" w:styleId="Titolo2Carattere">
    <w:name w:val="Titolo 2 Carattere"/>
    <w:basedOn w:val="Carpredefinitoparagrafo"/>
    <w:link w:val="Titolo2"/>
    <w:uiPriority w:val="99"/>
    <w:locked/>
    <w:rsid w:val="00A84686"/>
    <w:rPr>
      <w:b/>
      <w:sz w:val="44"/>
      <w:szCs w:val="20"/>
    </w:rPr>
  </w:style>
  <w:style w:type="character" w:customStyle="1" w:styleId="Titolo3Carattere">
    <w:name w:val="Titolo 3 Carattere"/>
    <w:basedOn w:val="Carpredefinitoparagrafo"/>
    <w:link w:val="Titolo3"/>
    <w:uiPriority w:val="99"/>
    <w:locked/>
    <w:rsid w:val="00A84686"/>
    <w:rPr>
      <w:b/>
      <w:sz w:val="28"/>
      <w:szCs w:val="20"/>
    </w:rPr>
  </w:style>
  <w:style w:type="character" w:customStyle="1" w:styleId="Titolo4Carattere">
    <w:name w:val="Titolo 4 Carattere"/>
    <w:basedOn w:val="Carpredefinitoparagrafo"/>
    <w:link w:val="Titolo4"/>
    <w:uiPriority w:val="99"/>
    <w:locked/>
    <w:rsid w:val="00A84686"/>
    <w:rPr>
      <w:i/>
      <w:sz w:val="24"/>
      <w:szCs w:val="20"/>
      <w:u w:val="single"/>
    </w:rPr>
  </w:style>
  <w:style w:type="character" w:customStyle="1" w:styleId="Titolo5Carattere">
    <w:name w:val="Titolo 5 Carattere"/>
    <w:basedOn w:val="Carpredefinitoparagrafo"/>
    <w:link w:val="Titolo5"/>
    <w:uiPriority w:val="99"/>
    <w:locked/>
    <w:rsid w:val="00A84686"/>
    <w:rPr>
      <w:sz w:val="24"/>
      <w:szCs w:val="20"/>
    </w:rPr>
  </w:style>
  <w:style w:type="character" w:customStyle="1" w:styleId="Titolo6Carattere">
    <w:name w:val="Titolo 6 Carattere"/>
    <w:basedOn w:val="Carpredefinitoparagrafo"/>
    <w:link w:val="Titolo6"/>
    <w:uiPriority w:val="99"/>
    <w:locked/>
    <w:rsid w:val="00A84686"/>
    <w:rPr>
      <w:sz w:val="24"/>
      <w:szCs w:val="20"/>
    </w:rPr>
  </w:style>
  <w:style w:type="character" w:customStyle="1" w:styleId="Titolo7Carattere">
    <w:name w:val="Titolo 7 Carattere"/>
    <w:basedOn w:val="Carpredefinitoparagrafo"/>
    <w:link w:val="Titolo7"/>
    <w:uiPriority w:val="99"/>
    <w:locked/>
    <w:rsid w:val="00A84686"/>
    <w:rPr>
      <w:b/>
      <w:i/>
      <w:sz w:val="16"/>
      <w:szCs w:val="20"/>
    </w:rPr>
  </w:style>
  <w:style w:type="character" w:customStyle="1" w:styleId="Titolo8Carattere">
    <w:name w:val="Titolo 8 Carattere"/>
    <w:basedOn w:val="Carpredefinitoparagrafo"/>
    <w:link w:val="Titolo8"/>
    <w:uiPriority w:val="99"/>
    <w:locked/>
    <w:rsid w:val="00A84686"/>
    <w:rPr>
      <w:b/>
      <w:sz w:val="40"/>
      <w:szCs w:val="20"/>
    </w:rPr>
  </w:style>
  <w:style w:type="character" w:customStyle="1" w:styleId="Titolo9Carattere">
    <w:name w:val="Titolo 9 Carattere"/>
    <w:basedOn w:val="Carpredefinitoparagrafo"/>
    <w:link w:val="Titolo9"/>
    <w:uiPriority w:val="99"/>
    <w:locked/>
    <w:rsid w:val="00A84686"/>
    <w:rPr>
      <w:i/>
      <w:sz w:val="24"/>
      <w:szCs w:val="20"/>
    </w:rPr>
  </w:style>
  <w:style w:type="paragraph" w:styleId="Intestazione">
    <w:name w:val="header"/>
    <w:basedOn w:val="Normale"/>
    <w:link w:val="IntestazioneCarattere"/>
    <w:uiPriority w:val="99"/>
    <w:rsid w:val="00DF028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A84686"/>
    <w:rPr>
      <w:rFonts w:cs="Times New Roman"/>
      <w:sz w:val="24"/>
    </w:rPr>
  </w:style>
  <w:style w:type="paragraph" w:styleId="Pidipagina">
    <w:name w:val="footer"/>
    <w:basedOn w:val="Normale"/>
    <w:link w:val="PidipaginaCarattere"/>
    <w:uiPriority w:val="99"/>
    <w:rsid w:val="00DF0288"/>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A84686"/>
    <w:rPr>
      <w:rFonts w:cs="Times New Roman"/>
      <w:sz w:val="24"/>
    </w:rPr>
  </w:style>
  <w:style w:type="character" w:styleId="Numeropagina">
    <w:name w:val="page number"/>
    <w:basedOn w:val="Carpredefinitoparagrafo"/>
    <w:uiPriority w:val="99"/>
    <w:rsid w:val="00DF0288"/>
    <w:rPr>
      <w:rFonts w:cs="Times New Roman"/>
    </w:rPr>
  </w:style>
  <w:style w:type="paragraph" w:styleId="Rientrocorpodeltesto">
    <w:name w:val="Body Text Indent"/>
    <w:basedOn w:val="Normale"/>
    <w:link w:val="RientrocorpodeltestoCarattere"/>
    <w:uiPriority w:val="99"/>
    <w:rsid w:val="00DF0288"/>
    <w:pPr>
      <w:ind w:left="142" w:hanging="142"/>
      <w:jc w:val="both"/>
    </w:pPr>
  </w:style>
  <w:style w:type="character" w:customStyle="1" w:styleId="RientrocorpodeltestoCarattere">
    <w:name w:val="Rientro corpo del testo Carattere"/>
    <w:basedOn w:val="Carpredefinitoparagrafo"/>
    <w:link w:val="Rientrocorpodeltesto"/>
    <w:uiPriority w:val="99"/>
    <w:semiHidden/>
    <w:locked/>
    <w:rsid w:val="00A84686"/>
    <w:rPr>
      <w:rFonts w:cs="Times New Roman"/>
      <w:sz w:val="24"/>
    </w:rPr>
  </w:style>
  <w:style w:type="paragraph" w:customStyle="1" w:styleId="Corpotesto1">
    <w:name w:val="Corpo testo1"/>
    <w:basedOn w:val="Normale"/>
    <w:uiPriority w:val="99"/>
    <w:rsid w:val="00DF0288"/>
    <w:rPr>
      <w:sz w:val="28"/>
      <w:szCs w:val="20"/>
    </w:rPr>
  </w:style>
  <w:style w:type="paragraph" w:styleId="Corpodeltesto2">
    <w:name w:val="Body Text 2"/>
    <w:basedOn w:val="Normale"/>
    <w:link w:val="Corpodeltesto2Carattere"/>
    <w:uiPriority w:val="99"/>
    <w:rsid w:val="00DF0288"/>
    <w:pPr>
      <w:jc w:val="both"/>
    </w:pPr>
    <w:rPr>
      <w:sz w:val="32"/>
      <w:szCs w:val="20"/>
    </w:rPr>
  </w:style>
  <w:style w:type="character" w:customStyle="1" w:styleId="Corpodeltesto2Carattere">
    <w:name w:val="Corpo del testo 2 Carattere"/>
    <w:basedOn w:val="Carpredefinitoparagrafo"/>
    <w:link w:val="Corpodeltesto2"/>
    <w:uiPriority w:val="99"/>
    <w:locked/>
    <w:rsid w:val="001E3144"/>
    <w:rPr>
      <w:rFonts w:cs="Times New Roman"/>
      <w:sz w:val="32"/>
    </w:rPr>
  </w:style>
  <w:style w:type="paragraph" w:styleId="Titolo">
    <w:name w:val="Title"/>
    <w:basedOn w:val="Normale"/>
    <w:link w:val="TitoloCarattere"/>
    <w:uiPriority w:val="99"/>
    <w:qFormat/>
    <w:rsid w:val="00DF0288"/>
    <w:pPr>
      <w:jc w:val="center"/>
    </w:pPr>
    <w:rPr>
      <w:rFonts w:ascii="Cambria" w:hAnsi="Cambria"/>
      <w:b/>
      <w:bCs/>
      <w:kern w:val="28"/>
      <w:sz w:val="32"/>
      <w:szCs w:val="32"/>
    </w:rPr>
  </w:style>
  <w:style w:type="character" w:customStyle="1" w:styleId="TitoloCarattere">
    <w:name w:val="Titolo Carattere"/>
    <w:basedOn w:val="Carpredefinitoparagrafo"/>
    <w:link w:val="Titolo"/>
    <w:uiPriority w:val="99"/>
    <w:locked/>
    <w:rsid w:val="00A84686"/>
    <w:rPr>
      <w:rFonts w:ascii="Cambria" w:hAnsi="Cambria" w:cs="Times New Roman"/>
      <w:b/>
      <w:kern w:val="28"/>
      <w:sz w:val="32"/>
    </w:rPr>
  </w:style>
  <w:style w:type="paragraph" w:styleId="Sottotitolo">
    <w:name w:val="Subtitle"/>
    <w:basedOn w:val="Normale"/>
    <w:link w:val="SottotitoloCarattere"/>
    <w:uiPriority w:val="99"/>
    <w:qFormat/>
    <w:rsid w:val="00DF0288"/>
    <w:pPr>
      <w:jc w:val="center"/>
    </w:pPr>
    <w:rPr>
      <w:rFonts w:ascii="Cambria" w:hAnsi="Cambria"/>
    </w:rPr>
  </w:style>
  <w:style w:type="character" w:customStyle="1" w:styleId="SottotitoloCarattere">
    <w:name w:val="Sottotitolo Carattere"/>
    <w:basedOn w:val="Carpredefinitoparagrafo"/>
    <w:link w:val="Sottotitolo"/>
    <w:uiPriority w:val="99"/>
    <w:locked/>
    <w:rsid w:val="00A84686"/>
    <w:rPr>
      <w:rFonts w:ascii="Cambria" w:hAnsi="Cambria" w:cs="Times New Roman"/>
      <w:sz w:val="24"/>
    </w:rPr>
  </w:style>
  <w:style w:type="paragraph" w:styleId="Rientrocorpodeltesto2">
    <w:name w:val="Body Text Indent 2"/>
    <w:basedOn w:val="Normale"/>
    <w:link w:val="Rientrocorpodeltesto2Carattere"/>
    <w:uiPriority w:val="99"/>
    <w:rsid w:val="00DF0288"/>
    <w:pPr>
      <w:ind w:firstLine="360"/>
      <w:jc w:val="both"/>
    </w:pPr>
  </w:style>
  <w:style w:type="character" w:customStyle="1" w:styleId="Rientrocorpodeltesto2Carattere">
    <w:name w:val="Rientro corpo del testo 2 Carattere"/>
    <w:basedOn w:val="Carpredefinitoparagrafo"/>
    <w:link w:val="Rientrocorpodeltesto2"/>
    <w:uiPriority w:val="99"/>
    <w:semiHidden/>
    <w:locked/>
    <w:rsid w:val="00A84686"/>
    <w:rPr>
      <w:rFonts w:cs="Times New Roman"/>
      <w:sz w:val="24"/>
    </w:rPr>
  </w:style>
  <w:style w:type="paragraph" w:styleId="Rientrocorpodeltesto3">
    <w:name w:val="Body Text Indent 3"/>
    <w:basedOn w:val="Normale"/>
    <w:link w:val="Rientrocorpodeltesto3Carattere"/>
    <w:uiPriority w:val="99"/>
    <w:rsid w:val="00DF0288"/>
    <w:pPr>
      <w:ind w:firstLine="708"/>
      <w:jc w:val="both"/>
    </w:pPr>
    <w:rPr>
      <w:sz w:val="16"/>
      <w:szCs w:val="16"/>
    </w:rPr>
  </w:style>
  <w:style w:type="character" w:customStyle="1" w:styleId="Rientrocorpodeltesto3Carattere">
    <w:name w:val="Rientro corpo del testo 3 Carattere"/>
    <w:basedOn w:val="Carpredefinitoparagrafo"/>
    <w:link w:val="Rientrocorpodeltesto3"/>
    <w:uiPriority w:val="99"/>
    <w:semiHidden/>
    <w:locked/>
    <w:rsid w:val="00A84686"/>
    <w:rPr>
      <w:rFonts w:cs="Times New Roman"/>
      <w:sz w:val="16"/>
    </w:rPr>
  </w:style>
  <w:style w:type="paragraph" w:styleId="Corpodeltesto3">
    <w:name w:val="Body Text 3"/>
    <w:basedOn w:val="Normale"/>
    <w:link w:val="Corpodeltesto3Carattere"/>
    <w:uiPriority w:val="99"/>
    <w:rsid w:val="00DF0288"/>
    <w:pPr>
      <w:jc w:val="both"/>
    </w:pPr>
    <w:rPr>
      <w:sz w:val="16"/>
      <w:szCs w:val="16"/>
    </w:rPr>
  </w:style>
  <w:style w:type="character" w:customStyle="1" w:styleId="Corpodeltesto3Carattere">
    <w:name w:val="Corpo del testo 3 Carattere"/>
    <w:basedOn w:val="Carpredefinitoparagrafo"/>
    <w:link w:val="Corpodeltesto3"/>
    <w:uiPriority w:val="99"/>
    <w:semiHidden/>
    <w:locked/>
    <w:rsid w:val="00A84686"/>
    <w:rPr>
      <w:rFonts w:cs="Times New Roman"/>
      <w:sz w:val="16"/>
    </w:rPr>
  </w:style>
  <w:style w:type="paragraph" w:styleId="Sommario2">
    <w:name w:val="toc 2"/>
    <w:basedOn w:val="Sommario1"/>
    <w:autoRedefine/>
    <w:uiPriority w:val="99"/>
    <w:rsid w:val="00194652"/>
    <w:pPr>
      <w:tabs>
        <w:tab w:val="left" w:pos="1000"/>
        <w:tab w:val="left" w:pos="1080"/>
      </w:tabs>
      <w:ind w:left="200"/>
    </w:pPr>
    <w:rPr>
      <w:rFonts w:ascii="Verdana" w:hAnsi="Verdana" w:cs="Tahoma"/>
      <w:iCs w:val="0"/>
      <w:sz w:val="18"/>
      <w:szCs w:val="18"/>
    </w:rPr>
  </w:style>
  <w:style w:type="paragraph" w:styleId="Sommario1">
    <w:name w:val="toc 1"/>
    <w:basedOn w:val="Normale"/>
    <w:next w:val="Normale"/>
    <w:autoRedefine/>
    <w:uiPriority w:val="99"/>
    <w:rsid w:val="00194652"/>
    <w:pPr>
      <w:tabs>
        <w:tab w:val="left" w:pos="360"/>
        <w:tab w:val="left" w:pos="540"/>
        <w:tab w:val="right" w:leader="underscore" w:pos="9628"/>
      </w:tabs>
      <w:spacing w:before="120" w:line="360" w:lineRule="auto"/>
      <w:jc w:val="center"/>
    </w:pPr>
    <w:rPr>
      <w:rFonts w:ascii="Arial" w:hAnsi="Arial" w:cs="Arial"/>
      <w:b/>
      <w:bCs/>
      <w:iCs/>
      <w:noProof/>
      <w:sz w:val="20"/>
      <w:szCs w:val="20"/>
    </w:rPr>
  </w:style>
  <w:style w:type="paragraph" w:styleId="Testonotaapidipagina">
    <w:name w:val="footnote text"/>
    <w:basedOn w:val="Normale"/>
    <w:link w:val="TestonotaapidipaginaCarattere"/>
    <w:uiPriority w:val="99"/>
    <w:semiHidden/>
    <w:rsid w:val="00DF0288"/>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A84686"/>
    <w:rPr>
      <w:rFonts w:cs="Times New Roman"/>
      <w:sz w:val="20"/>
    </w:rPr>
  </w:style>
  <w:style w:type="character" w:styleId="Rimandonotaapidipagina">
    <w:name w:val="footnote reference"/>
    <w:basedOn w:val="Carpredefinitoparagrafo"/>
    <w:uiPriority w:val="99"/>
    <w:semiHidden/>
    <w:rsid w:val="00DF0288"/>
    <w:rPr>
      <w:rFonts w:cs="Times New Roman"/>
      <w:vertAlign w:val="superscript"/>
    </w:rPr>
  </w:style>
  <w:style w:type="paragraph" w:styleId="NormaleWeb">
    <w:name w:val="Normal (Web)"/>
    <w:basedOn w:val="Normale"/>
    <w:uiPriority w:val="99"/>
    <w:rsid w:val="00DF0288"/>
    <w:pPr>
      <w:spacing w:before="100" w:beforeAutospacing="1" w:after="100" w:afterAutospacing="1"/>
    </w:pPr>
    <w:rPr>
      <w:rFonts w:ascii="Arial" w:hAnsi="Arial" w:cs="Arial"/>
      <w:color w:val="000000"/>
      <w:sz w:val="20"/>
      <w:szCs w:val="20"/>
    </w:rPr>
  </w:style>
  <w:style w:type="paragraph" w:customStyle="1" w:styleId="txbrp12">
    <w:name w:val="txbrp12"/>
    <w:basedOn w:val="Normale"/>
    <w:uiPriority w:val="99"/>
    <w:rsid w:val="00DF0288"/>
    <w:pPr>
      <w:spacing w:before="100" w:beforeAutospacing="1" w:after="100" w:afterAutospacing="1"/>
    </w:pPr>
    <w:rPr>
      <w:rFonts w:ascii="Arial" w:hAnsi="Arial" w:cs="Arial"/>
      <w:color w:val="000000"/>
      <w:sz w:val="20"/>
      <w:szCs w:val="20"/>
    </w:rPr>
  </w:style>
  <w:style w:type="character" w:styleId="Collegamentoipertestuale">
    <w:name w:val="Hyperlink"/>
    <w:basedOn w:val="Carpredefinitoparagrafo"/>
    <w:uiPriority w:val="99"/>
    <w:rsid w:val="00DF0288"/>
    <w:rPr>
      <w:rFonts w:cs="Times New Roman"/>
      <w:color w:val="0000FF"/>
      <w:u w:val="single"/>
    </w:rPr>
  </w:style>
  <w:style w:type="paragraph" w:customStyle="1" w:styleId="xl24">
    <w:name w:val="xl24"/>
    <w:basedOn w:val="Normale"/>
    <w:uiPriority w:val="99"/>
    <w:rsid w:val="00DF02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5">
    <w:name w:val="xl25"/>
    <w:basedOn w:val="Normale"/>
    <w:uiPriority w:val="99"/>
    <w:rsid w:val="00DF02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Normale"/>
    <w:uiPriority w:val="99"/>
    <w:rsid w:val="00DF0288"/>
    <w:pPr>
      <w:spacing w:before="100" w:beforeAutospacing="1" w:after="100" w:afterAutospacing="1"/>
      <w:textAlignment w:val="top"/>
    </w:pPr>
    <w:rPr>
      <w:rFonts w:ascii="Arial Unicode MS" w:hAnsi="Arial Unicode MS"/>
    </w:rPr>
  </w:style>
  <w:style w:type="paragraph" w:customStyle="1" w:styleId="xl27">
    <w:name w:val="xl27"/>
    <w:basedOn w:val="Normale"/>
    <w:uiPriority w:val="99"/>
    <w:rsid w:val="00DF0288"/>
    <w:pPr>
      <w:spacing w:before="100" w:beforeAutospacing="1" w:after="100" w:afterAutospacing="1"/>
      <w:textAlignment w:val="top"/>
    </w:pPr>
    <w:rPr>
      <w:rFonts w:ascii="Arial" w:hAnsi="Arial" w:cs="Arial"/>
      <w:sz w:val="16"/>
      <w:szCs w:val="16"/>
    </w:rPr>
  </w:style>
  <w:style w:type="paragraph" w:customStyle="1" w:styleId="xl28">
    <w:name w:val="xl28"/>
    <w:basedOn w:val="Normale"/>
    <w:uiPriority w:val="99"/>
    <w:rsid w:val="00DF0288"/>
    <w:pPr>
      <w:spacing w:before="100" w:beforeAutospacing="1" w:after="100" w:afterAutospacing="1"/>
    </w:pPr>
    <w:rPr>
      <w:rFonts w:ascii="Arial" w:hAnsi="Arial" w:cs="Arial"/>
      <w:sz w:val="16"/>
      <w:szCs w:val="16"/>
    </w:rPr>
  </w:style>
  <w:style w:type="paragraph" w:customStyle="1" w:styleId="xl29">
    <w:name w:val="xl29"/>
    <w:basedOn w:val="Normale"/>
    <w:uiPriority w:val="99"/>
    <w:rsid w:val="00DF0288"/>
    <w:pPr>
      <w:spacing w:before="100" w:beforeAutospacing="1" w:after="100" w:afterAutospacing="1"/>
      <w:textAlignment w:val="center"/>
    </w:pPr>
    <w:rPr>
      <w:rFonts w:ascii="Arial" w:hAnsi="Arial" w:cs="Arial"/>
      <w:sz w:val="16"/>
      <w:szCs w:val="16"/>
    </w:rPr>
  </w:style>
  <w:style w:type="paragraph" w:customStyle="1" w:styleId="xl30">
    <w:name w:val="xl30"/>
    <w:basedOn w:val="Normale"/>
    <w:uiPriority w:val="99"/>
    <w:rsid w:val="00DF0288"/>
    <w:pPr>
      <w:spacing w:before="100" w:beforeAutospacing="1" w:after="100" w:afterAutospacing="1"/>
      <w:textAlignment w:val="center"/>
    </w:pPr>
    <w:rPr>
      <w:rFonts w:ascii="Arial Unicode MS" w:hAnsi="Arial Unicode MS"/>
    </w:rPr>
  </w:style>
  <w:style w:type="paragraph" w:customStyle="1" w:styleId="xl31">
    <w:name w:val="xl31"/>
    <w:basedOn w:val="Normale"/>
    <w:uiPriority w:val="99"/>
    <w:rsid w:val="00DF0288"/>
    <w:pPr>
      <w:spacing w:before="100" w:beforeAutospacing="1" w:after="100" w:afterAutospacing="1"/>
      <w:jc w:val="center"/>
      <w:textAlignment w:val="top"/>
    </w:pPr>
    <w:rPr>
      <w:rFonts w:ascii="Arial" w:hAnsi="Arial" w:cs="Arial"/>
      <w:sz w:val="16"/>
      <w:szCs w:val="16"/>
    </w:rPr>
  </w:style>
  <w:style w:type="paragraph" w:customStyle="1" w:styleId="xl32">
    <w:name w:val="xl32"/>
    <w:basedOn w:val="Normale"/>
    <w:uiPriority w:val="99"/>
    <w:rsid w:val="00DF02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3">
    <w:name w:val="xl33"/>
    <w:basedOn w:val="Normale"/>
    <w:uiPriority w:val="99"/>
    <w:rsid w:val="00DF0288"/>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34">
    <w:name w:val="xl34"/>
    <w:basedOn w:val="Normale"/>
    <w:uiPriority w:val="99"/>
    <w:rsid w:val="00DF0288"/>
    <w:pPr>
      <w:spacing w:before="100" w:beforeAutospacing="1" w:after="100" w:afterAutospacing="1"/>
      <w:textAlignment w:val="top"/>
    </w:pPr>
    <w:rPr>
      <w:rFonts w:ascii="Arial" w:hAnsi="Arial" w:cs="Arial"/>
      <w:b/>
      <w:bCs/>
      <w:sz w:val="16"/>
      <w:szCs w:val="16"/>
    </w:rPr>
  </w:style>
  <w:style w:type="paragraph" w:customStyle="1" w:styleId="xl35">
    <w:name w:val="xl35"/>
    <w:basedOn w:val="Normale"/>
    <w:uiPriority w:val="99"/>
    <w:rsid w:val="00DF0288"/>
    <w:pPr>
      <w:spacing w:before="100" w:beforeAutospacing="1" w:after="100" w:afterAutospacing="1"/>
      <w:jc w:val="center"/>
      <w:textAlignment w:val="center"/>
    </w:pPr>
    <w:rPr>
      <w:rFonts w:ascii="Arial" w:hAnsi="Arial" w:cs="Arial"/>
      <w:b/>
      <w:bCs/>
      <w:sz w:val="16"/>
      <w:szCs w:val="16"/>
    </w:rPr>
  </w:style>
  <w:style w:type="paragraph" w:customStyle="1" w:styleId="xl36">
    <w:name w:val="xl36"/>
    <w:basedOn w:val="Normale"/>
    <w:uiPriority w:val="99"/>
    <w:rsid w:val="00DF0288"/>
    <w:pPr>
      <w:spacing w:before="100" w:beforeAutospacing="1" w:after="100" w:afterAutospacing="1"/>
      <w:textAlignment w:val="center"/>
    </w:pPr>
    <w:rPr>
      <w:rFonts w:ascii="Arial" w:hAnsi="Arial" w:cs="Arial"/>
      <w:b/>
      <w:bCs/>
      <w:sz w:val="16"/>
      <w:szCs w:val="16"/>
    </w:rPr>
  </w:style>
  <w:style w:type="paragraph" w:customStyle="1" w:styleId="xl37">
    <w:name w:val="xl37"/>
    <w:basedOn w:val="Normale"/>
    <w:uiPriority w:val="99"/>
    <w:rsid w:val="00DF02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38">
    <w:name w:val="xl38"/>
    <w:basedOn w:val="Normale"/>
    <w:uiPriority w:val="99"/>
    <w:rsid w:val="00DF0288"/>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39">
    <w:name w:val="xl39"/>
    <w:basedOn w:val="Normale"/>
    <w:uiPriority w:val="99"/>
    <w:rsid w:val="00DF0288"/>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0">
    <w:name w:val="xl40"/>
    <w:basedOn w:val="Normale"/>
    <w:uiPriority w:val="99"/>
    <w:rsid w:val="00DF02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1">
    <w:name w:val="xl41"/>
    <w:basedOn w:val="Normale"/>
    <w:uiPriority w:val="99"/>
    <w:rsid w:val="00DF0288"/>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rPr>
  </w:style>
  <w:style w:type="paragraph" w:customStyle="1" w:styleId="xl42">
    <w:name w:val="xl42"/>
    <w:basedOn w:val="Normale"/>
    <w:uiPriority w:val="99"/>
    <w:rsid w:val="00DF0288"/>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rPr>
  </w:style>
  <w:style w:type="paragraph" w:customStyle="1" w:styleId="xl43">
    <w:name w:val="xl43"/>
    <w:basedOn w:val="Normale"/>
    <w:uiPriority w:val="99"/>
    <w:rsid w:val="00DF0288"/>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6"/>
      <w:szCs w:val="16"/>
    </w:rPr>
  </w:style>
  <w:style w:type="paragraph" w:customStyle="1" w:styleId="xl44">
    <w:name w:val="xl44"/>
    <w:basedOn w:val="Normale"/>
    <w:uiPriority w:val="99"/>
    <w:rsid w:val="00DF0288"/>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5">
    <w:name w:val="xl45"/>
    <w:basedOn w:val="Normale"/>
    <w:uiPriority w:val="99"/>
    <w:rsid w:val="00DF0288"/>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rPr>
  </w:style>
  <w:style w:type="paragraph" w:customStyle="1" w:styleId="xl46">
    <w:name w:val="xl46"/>
    <w:basedOn w:val="Normale"/>
    <w:uiPriority w:val="99"/>
    <w:rsid w:val="00DF0288"/>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47">
    <w:name w:val="xl47"/>
    <w:basedOn w:val="Normale"/>
    <w:uiPriority w:val="99"/>
    <w:rsid w:val="00DF028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8">
    <w:name w:val="xl48"/>
    <w:basedOn w:val="Normale"/>
    <w:uiPriority w:val="99"/>
    <w:rsid w:val="00DF0288"/>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49">
    <w:name w:val="xl49"/>
    <w:basedOn w:val="Normale"/>
    <w:uiPriority w:val="99"/>
    <w:rsid w:val="00DF028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6"/>
      <w:szCs w:val="16"/>
    </w:rPr>
  </w:style>
  <w:style w:type="paragraph" w:customStyle="1" w:styleId="xl50">
    <w:name w:val="xl50"/>
    <w:basedOn w:val="Normale"/>
    <w:uiPriority w:val="99"/>
    <w:rsid w:val="00DF028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Default">
    <w:name w:val="Default"/>
    <w:uiPriority w:val="99"/>
    <w:rsid w:val="00DF0288"/>
    <w:pPr>
      <w:autoSpaceDE w:val="0"/>
      <w:autoSpaceDN w:val="0"/>
      <w:adjustRightInd w:val="0"/>
    </w:pPr>
    <w:rPr>
      <w:color w:val="000000"/>
      <w:sz w:val="24"/>
      <w:szCs w:val="24"/>
    </w:rPr>
  </w:style>
  <w:style w:type="table" w:styleId="Grigliatabella">
    <w:name w:val="Table Grid"/>
    <w:basedOn w:val="Tabellanormale"/>
    <w:uiPriority w:val="99"/>
    <w:rsid w:val="00DF028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3">
    <w:name w:val="toc 3"/>
    <w:basedOn w:val="Normale"/>
    <w:next w:val="Normale"/>
    <w:autoRedefine/>
    <w:uiPriority w:val="99"/>
    <w:rsid w:val="007F4699"/>
    <w:pPr>
      <w:tabs>
        <w:tab w:val="right" w:leader="underscore" w:pos="9540"/>
      </w:tabs>
      <w:ind w:left="400" w:right="484"/>
    </w:pPr>
    <w:rPr>
      <w:rFonts w:ascii="Arial" w:hAnsi="Arial" w:cs="Arial"/>
      <w:b/>
      <w:noProof/>
      <w:sz w:val="20"/>
      <w:szCs w:val="20"/>
    </w:rPr>
  </w:style>
  <w:style w:type="paragraph" w:styleId="Sommario4">
    <w:name w:val="toc 4"/>
    <w:basedOn w:val="Normale"/>
    <w:next w:val="Normale"/>
    <w:autoRedefine/>
    <w:uiPriority w:val="99"/>
    <w:semiHidden/>
    <w:rsid w:val="00DF0288"/>
    <w:pPr>
      <w:ind w:left="600"/>
    </w:pPr>
    <w:rPr>
      <w:sz w:val="20"/>
      <w:szCs w:val="20"/>
    </w:rPr>
  </w:style>
  <w:style w:type="paragraph" w:styleId="Sommario5">
    <w:name w:val="toc 5"/>
    <w:basedOn w:val="Normale"/>
    <w:next w:val="Normale"/>
    <w:autoRedefine/>
    <w:uiPriority w:val="99"/>
    <w:semiHidden/>
    <w:rsid w:val="00DF0288"/>
    <w:pPr>
      <w:ind w:left="800"/>
    </w:pPr>
    <w:rPr>
      <w:sz w:val="20"/>
      <w:szCs w:val="20"/>
    </w:rPr>
  </w:style>
  <w:style w:type="paragraph" w:styleId="Sommario6">
    <w:name w:val="toc 6"/>
    <w:basedOn w:val="Normale"/>
    <w:next w:val="Normale"/>
    <w:autoRedefine/>
    <w:uiPriority w:val="99"/>
    <w:semiHidden/>
    <w:rsid w:val="00DF0288"/>
    <w:pPr>
      <w:ind w:left="1000"/>
    </w:pPr>
    <w:rPr>
      <w:sz w:val="20"/>
      <w:szCs w:val="20"/>
    </w:rPr>
  </w:style>
  <w:style w:type="paragraph" w:styleId="Sommario7">
    <w:name w:val="toc 7"/>
    <w:basedOn w:val="Normale"/>
    <w:next w:val="Normale"/>
    <w:autoRedefine/>
    <w:uiPriority w:val="99"/>
    <w:semiHidden/>
    <w:rsid w:val="00DF0288"/>
    <w:pPr>
      <w:ind w:left="1200"/>
    </w:pPr>
    <w:rPr>
      <w:sz w:val="20"/>
      <w:szCs w:val="20"/>
    </w:rPr>
  </w:style>
  <w:style w:type="paragraph" w:styleId="Sommario8">
    <w:name w:val="toc 8"/>
    <w:basedOn w:val="Normale"/>
    <w:next w:val="Normale"/>
    <w:autoRedefine/>
    <w:uiPriority w:val="99"/>
    <w:semiHidden/>
    <w:rsid w:val="00DF0288"/>
    <w:pPr>
      <w:ind w:left="1400"/>
    </w:pPr>
    <w:rPr>
      <w:sz w:val="20"/>
      <w:szCs w:val="20"/>
    </w:rPr>
  </w:style>
  <w:style w:type="paragraph" w:styleId="Sommario9">
    <w:name w:val="toc 9"/>
    <w:basedOn w:val="Normale"/>
    <w:next w:val="Normale"/>
    <w:autoRedefine/>
    <w:uiPriority w:val="99"/>
    <w:semiHidden/>
    <w:rsid w:val="00DF0288"/>
    <w:pPr>
      <w:ind w:left="1600"/>
    </w:pPr>
    <w:rPr>
      <w:sz w:val="20"/>
      <w:szCs w:val="20"/>
    </w:rPr>
  </w:style>
  <w:style w:type="paragraph" w:styleId="Puntoelenco">
    <w:name w:val="List Bullet"/>
    <w:basedOn w:val="Normale"/>
    <w:autoRedefine/>
    <w:uiPriority w:val="99"/>
    <w:rsid w:val="003A33F4"/>
    <w:pPr>
      <w:tabs>
        <w:tab w:val="num" w:pos="360"/>
      </w:tabs>
      <w:ind w:left="360" w:hanging="360"/>
    </w:pPr>
  </w:style>
  <w:style w:type="paragraph" w:styleId="Testofumetto">
    <w:name w:val="Balloon Text"/>
    <w:basedOn w:val="Normale"/>
    <w:link w:val="TestofumettoCarattere"/>
    <w:uiPriority w:val="99"/>
    <w:semiHidden/>
    <w:rsid w:val="0029397B"/>
    <w:rPr>
      <w:sz w:val="2"/>
      <w:szCs w:val="20"/>
    </w:rPr>
  </w:style>
  <w:style w:type="character" w:customStyle="1" w:styleId="TestofumettoCarattere">
    <w:name w:val="Testo fumetto Carattere"/>
    <w:basedOn w:val="Carpredefinitoparagrafo"/>
    <w:link w:val="Testofumetto"/>
    <w:uiPriority w:val="99"/>
    <w:semiHidden/>
    <w:locked/>
    <w:rsid w:val="00A84686"/>
    <w:rPr>
      <w:rFonts w:cs="Times New Roman"/>
      <w:sz w:val="2"/>
    </w:rPr>
  </w:style>
  <w:style w:type="character" w:styleId="Enfasigrassetto">
    <w:name w:val="Strong"/>
    <w:basedOn w:val="Carpredefinitoparagrafo"/>
    <w:uiPriority w:val="99"/>
    <w:qFormat/>
    <w:rsid w:val="005E7AAE"/>
    <w:rPr>
      <w:rFonts w:cs="Times New Roman"/>
      <w:b/>
    </w:rPr>
  </w:style>
  <w:style w:type="paragraph" w:customStyle="1" w:styleId="Stile">
    <w:name w:val="Stile"/>
    <w:basedOn w:val="Normale"/>
    <w:uiPriority w:val="99"/>
    <w:rsid w:val="0082635F"/>
    <w:pPr>
      <w:spacing w:after="160" w:line="240" w:lineRule="exact"/>
    </w:pPr>
    <w:rPr>
      <w:rFonts w:ascii="Arial" w:hAnsi="Arial" w:cs="Arial"/>
      <w:sz w:val="20"/>
      <w:szCs w:val="20"/>
      <w:lang w:val="en-US" w:eastAsia="en-US"/>
    </w:rPr>
  </w:style>
  <w:style w:type="paragraph" w:styleId="Indice2">
    <w:name w:val="index 2"/>
    <w:basedOn w:val="Normale"/>
    <w:next w:val="Normale"/>
    <w:autoRedefine/>
    <w:uiPriority w:val="99"/>
    <w:semiHidden/>
    <w:rsid w:val="00185442"/>
    <w:pPr>
      <w:ind w:left="480" w:hanging="240"/>
    </w:pPr>
  </w:style>
  <w:style w:type="paragraph" w:styleId="Paragrafoelenco">
    <w:name w:val="List Paragraph"/>
    <w:basedOn w:val="Normale"/>
    <w:uiPriority w:val="99"/>
    <w:qFormat/>
    <w:rsid w:val="00896A30"/>
    <w:pPr>
      <w:suppressAutoHyphens/>
      <w:spacing w:after="160" w:line="252" w:lineRule="auto"/>
      <w:ind w:left="720"/>
      <w:contextualSpacing/>
    </w:pPr>
    <w:rPr>
      <w:rFonts w:ascii="Calibri" w:hAnsi="Calibri"/>
      <w:sz w:val="22"/>
      <w:szCs w:val="22"/>
      <w:lang w:eastAsia="zh-CN"/>
    </w:rPr>
  </w:style>
  <w:style w:type="paragraph" w:styleId="Titolosommario">
    <w:name w:val="TOC Heading"/>
    <w:basedOn w:val="Titolo1"/>
    <w:next w:val="Normale"/>
    <w:uiPriority w:val="99"/>
    <w:qFormat/>
    <w:rsid w:val="004D644E"/>
    <w:pPr>
      <w:keepLines/>
      <w:tabs>
        <w:tab w:val="clear" w:pos="360"/>
      </w:tabs>
      <w:spacing w:before="480" w:line="276" w:lineRule="auto"/>
      <w:ind w:left="0" w:firstLine="0"/>
      <w:jc w:val="left"/>
      <w:outlineLvl w:val="9"/>
    </w:pPr>
    <w:rPr>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525862">
      <w:marLeft w:val="0"/>
      <w:marRight w:val="0"/>
      <w:marTop w:val="0"/>
      <w:marBottom w:val="0"/>
      <w:divBdr>
        <w:top w:val="none" w:sz="0" w:space="0" w:color="auto"/>
        <w:left w:val="none" w:sz="0" w:space="0" w:color="auto"/>
        <w:bottom w:val="none" w:sz="0" w:space="0" w:color="auto"/>
        <w:right w:val="none" w:sz="0" w:space="0" w:color="auto"/>
      </w:divBdr>
      <w:divsChild>
        <w:div w:id="1295525881">
          <w:marLeft w:val="0"/>
          <w:marRight w:val="0"/>
          <w:marTop w:val="0"/>
          <w:marBottom w:val="0"/>
          <w:divBdr>
            <w:top w:val="none" w:sz="0" w:space="0" w:color="auto"/>
            <w:left w:val="none" w:sz="0" w:space="0" w:color="auto"/>
            <w:bottom w:val="none" w:sz="0" w:space="0" w:color="auto"/>
            <w:right w:val="none" w:sz="0" w:space="0" w:color="auto"/>
          </w:divBdr>
        </w:div>
        <w:div w:id="1295525893">
          <w:marLeft w:val="0"/>
          <w:marRight w:val="0"/>
          <w:marTop w:val="0"/>
          <w:marBottom w:val="0"/>
          <w:divBdr>
            <w:top w:val="none" w:sz="0" w:space="0" w:color="auto"/>
            <w:left w:val="none" w:sz="0" w:space="0" w:color="auto"/>
            <w:bottom w:val="none" w:sz="0" w:space="0" w:color="auto"/>
            <w:right w:val="none" w:sz="0" w:space="0" w:color="auto"/>
          </w:divBdr>
        </w:div>
        <w:div w:id="1295525907">
          <w:marLeft w:val="0"/>
          <w:marRight w:val="0"/>
          <w:marTop w:val="0"/>
          <w:marBottom w:val="0"/>
          <w:divBdr>
            <w:top w:val="none" w:sz="0" w:space="0" w:color="auto"/>
            <w:left w:val="none" w:sz="0" w:space="0" w:color="auto"/>
            <w:bottom w:val="none" w:sz="0" w:space="0" w:color="auto"/>
            <w:right w:val="none" w:sz="0" w:space="0" w:color="auto"/>
          </w:divBdr>
        </w:div>
        <w:div w:id="1295525908">
          <w:marLeft w:val="0"/>
          <w:marRight w:val="0"/>
          <w:marTop w:val="0"/>
          <w:marBottom w:val="0"/>
          <w:divBdr>
            <w:top w:val="none" w:sz="0" w:space="0" w:color="auto"/>
            <w:left w:val="none" w:sz="0" w:space="0" w:color="auto"/>
            <w:bottom w:val="none" w:sz="0" w:space="0" w:color="auto"/>
            <w:right w:val="none" w:sz="0" w:space="0" w:color="auto"/>
          </w:divBdr>
        </w:div>
        <w:div w:id="1295525911">
          <w:marLeft w:val="0"/>
          <w:marRight w:val="0"/>
          <w:marTop w:val="0"/>
          <w:marBottom w:val="0"/>
          <w:divBdr>
            <w:top w:val="none" w:sz="0" w:space="0" w:color="auto"/>
            <w:left w:val="none" w:sz="0" w:space="0" w:color="auto"/>
            <w:bottom w:val="none" w:sz="0" w:space="0" w:color="auto"/>
            <w:right w:val="none" w:sz="0" w:space="0" w:color="auto"/>
          </w:divBdr>
        </w:div>
        <w:div w:id="1295525919">
          <w:marLeft w:val="0"/>
          <w:marRight w:val="0"/>
          <w:marTop w:val="0"/>
          <w:marBottom w:val="0"/>
          <w:divBdr>
            <w:top w:val="none" w:sz="0" w:space="0" w:color="auto"/>
            <w:left w:val="none" w:sz="0" w:space="0" w:color="auto"/>
            <w:bottom w:val="none" w:sz="0" w:space="0" w:color="auto"/>
            <w:right w:val="none" w:sz="0" w:space="0" w:color="auto"/>
          </w:divBdr>
        </w:div>
        <w:div w:id="1295525920">
          <w:marLeft w:val="0"/>
          <w:marRight w:val="0"/>
          <w:marTop w:val="0"/>
          <w:marBottom w:val="0"/>
          <w:divBdr>
            <w:top w:val="none" w:sz="0" w:space="0" w:color="auto"/>
            <w:left w:val="none" w:sz="0" w:space="0" w:color="auto"/>
            <w:bottom w:val="none" w:sz="0" w:space="0" w:color="auto"/>
            <w:right w:val="none" w:sz="0" w:space="0" w:color="auto"/>
          </w:divBdr>
        </w:div>
        <w:div w:id="1295525939">
          <w:marLeft w:val="0"/>
          <w:marRight w:val="0"/>
          <w:marTop w:val="0"/>
          <w:marBottom w:val="0"/>
          <w:divBdr>
            <w:top w:val="none" w:sz="0" w:space="0" w:color="auto"/>
            <w:left w:val="none" w:sz="0" w:space="0" w:color="auto"/>
            <w:bottom w:val="none" w:sz="0" w:space="0" w:color="auto"/>
            <w:right w:val="none" w:sz="0" w:space="0" w:color="auto"/>
          </w:divBdr>
        </w:div>
        <w:div w:id="1295525944">
          <w:marLeft w:val="0"/>
          <w:marRight w:val="0"/>
          <w:marTop w:val="0"/>
          <w:marBottom w:val="0"/>
          <w:divBdr>
            <w:top w:val="none" w:sz="0" w:space="0" w:color="auto"/>
            <w:left w:val="none" w:sz="0" w:space="0" w:color="auto"/>
            <w:bottom w:val="none" w:sz="0" w:space="0" w:color="auto"/>
            <w:right w:val="none" w:sz="0" w:space="0" w:color="auto"/>
          </w:divBdr>
        </w:div>
        <w:div w:id="1295525989">
          <w:marLeft w:val="0"/>
          <w:marRight w:val="0"/>
          <w:marTop w:val="0"/>
          <w:marBottom w:val="0"/>
          <w:divBdr>
            <w:top w:val="none" w:sz="0" w:space="0" w:color="auto"/>
            <w:left w:val="none" w:sz="0" w:space="0" w:color="auto"/>
            <w:bottom w:val="none" w:sz="0" w:space="0" w:color="auto"/>
            <w:right w:val="none" w:sz="0" w:space="0" w:color="auto"/>
          </w:divBdr>
        </w:div>
      </w:divsChild>
    </w:div>
    <w:div w:id="1295525865">
      <w:marLeft w:val="0"/>
      <w:marRight w:val="0"/>
      <w:marTop w:val="0"/>
      <w:marBottom w:val="0"/>
      <w:divBdr>
        <w:top w:val="none" w:sz="0" w:space="0" w:color="auto"/>
        <w:left w:val="none" w:sz="0" w:space="0" w:color="auto"/>
        <w:bottom w:val="none" w:sz="0" w:space="0" w:color="auto"/>
        <w:right w:val="none" w:sz="0" w:space="0" w:color="auto"/>
      </w:divBdr>
    </w:div>
    <w:div w:id="1295525866">
      <w:marLeft w:val="0"/>
      <w:marRight w:val="0"/>
      <w:marTop w:val="0"/>
      <w:marBottom w:val="0"/>
      <w:divBdr>
        <w:top w:val="none" w:sz="0" w:space="0" w:color="auto"/>
        <w:left w:val="none" w:sz="0" w:space="0" w:color="auto"/>
        <w:bottom w:val="none" w:sz="0" w:space="0" w:color="auto"/>
        <w:right w:val="none" w:sz="0" w:space="0" w:color="auto"/>
      </w:divBdr>
      <w:divsChild>
        <w:div w:id="1295525969">
          <w:marLeft w:val="0"/>
          <w:marRight w:val="0"/>
          <w:marTop w:val="0"/>
          <w:marBottom w:val="0"/>
          <w:divBdr>
            <w:top w:val="none" w:sz="0" w:space="0" w:color="auto"/>
            <w:left w:val="none" w:sz="0" w:space="0" w:color="auto"/>
            <w:bottom w:val="none" w:sz="0" w:space="0" w:color="auto"/>
            <w:right w:val="none" w:sz="0" w:space="0" w:color="auto"/>
          </w:divBdr>
          <w:divsChild>
            <w:div w:id="1295525898">
              <w:marLeft w:val="0"/>
              <w:marRight w:val="0"/>
              <w:marTop w:val="0"/>
              <w:marBottom w:val="0"/>
              <w:divBdr>
                <w:top w:val="none" w:sz="0" w:space="0" w:color="auto"/>
                <w:left w:val="none" w:sz="0" w:space="0" w:color="auto"/>
                <w:bottom w:val="none" w:sz="0" w:space="0" w:color="auto"/>
                <w:right w:val="none" w:sz="0" w:space="0" w:color="auto"/>
              </w:divBdr>
              <w:divsChild>
                <w:div w:id="1295525943">
                  <w:marLeft w:val="0"/>
                  <w:marRight w:val="0"/>
                  <w:marTop w:val="0"/>
                  <w:marBottom w:val="0"/>
                  <w:divBdr>
                    <w:top w:val="none" w:sz="0" w:space="0" w:color="auto"/>
                    <w:left w:val="none" w:sz="0" w:space="0" w:color="auto"/>
                    <w:bottom w:val="none" w:sz="0" w:space="0" w:color="auto"/>
                    <w:right w:val="none" w:sz="0" w:space="0" w:color="auto"/>
                  </w:divBdr>
                  <w:divsChild>
                    <w:div w:id="12955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5871">
      <w:marLeft w:val="0"/>
      <w:marRight w:val="0"/>
      <w:marTop w:val="0"/>
      <w:marBottom w:val="0"/>
      <w:divBdr>
        <w:top w:val="none" w:sz="0" w:space="0" w:color="auto"/>
        <w:left w:val="none" w:sz="0" w:space="0" w:color="auto"/>
        <w:bottom w:val="none" w:sz="0" w:space="0" w:color="auto"/>
        <w:right w:val="none" w:sz="0" w:space="0" w:color="auto"/>
      </w:divBdr>
    </w:div>
    <w:div w:id="1295525877">
      <w:marLeft w:val="0"/>
      <w:marRight w:val="0"/>
      <w:marTop w:val="0"/>
      <w:marBottom w:val="0"/>
      <w:divBdr>
        <w:top w:val="none" w:sz="0" w:space="0" w:color="auto"/>
        <w:left w:val="none" w:sz="0" w:space="0" w:color="auto"/>
        <w:bottom w:val="none" w:sz="0" w:space="0" w:color="auto"/>
        <w:right w:val="none" w:sz="0" w:space="0" w:color="auto"/>
      </w:divBdr>
      <w:divsChild>
        <w:div w:id="1295525864">
          <w:marLeft w:val="0"/>
          <w:marRight w:val="0"/>
          <w:marTop w:val="0"/>
          <w:marBottom w:val="0"/>
          <w:divBdr>
            <w:top w:val="none" w:sz="0" w:space="0" w:color="auto"/>
            <w:left w:val="none" w:sz="0" w:space="0" w:color="auto"/>
            <w:bottom w:val="none" w:sz="0" w:space="0" w:color="auto"/>
            <w:right w:val="none" w:sz="0" w:space="0" w:color="auto"/>
          </w:divBdr>
        </w:div>
        <w:div w:id="1295525876">
          <w:marLeft w:val="0"/>
          <w:marRight w:val="0"/>
          <w:marTop w:val="0"/>
          <w:marBottom w:val="0"/>
          <w:divBdr>
            <w:top w:val="none" w:sz="0" w:space="0" w:color="auto"/>
            <w:left w:val="none" w:sz="0" w:space="0" w:color="auto"/>
            <w:bottom w:val="none" w:sz="0" w:space="0" w:color="auto"/>
            <w:right w:val="none" w:sz="0" w:space="0" w:color="auto"/>
          </w:divBdr>
        </w:div>
        <w:div w:id="1295525878">
          <w:marLeft w:val="0"/>
          <w:marRight w:val="0"/>
          <w:marTop w:val="0"/>
          <w:marBottom w:val="0"/>
          <w:divBdr>
            <w:top w:val="none" w:sz="0" w:space="0" w:color="auto"/>
            <w:left w:val="none" w:sz="0" w:space="0" w:color="auto"/>
            <w:bottom w:val="none" w:sz="0" w:space="0" w:color="auto"/>
            <w:right w:val="none" w:sz="0" w:space="0" w:color="auto"/>
          </w:divBdr>
        </w:div>
        <w:div w:id="1295525886">
          <w:marLeft w:val="0"/>
          <w:marRight w:val="0"/>
          <w:marTop w:val="0"/>
          <w:marBottom w:val="0"/>
          <w:divBdr>
            <w:top w:val="none" w:sz="0" w:space="0" w:color="auto"/>
            <w:left w:val="none" w:sz="0" w:space="0" w:color="auto"/>
            <w:bottom w:val="none" w:sz="0" w:space="0" w:color="auto"/>
            <w:right w:val="none" w:sz="0" w:space="0" w:color="auto"/>
          </w:divBdr>
        </w:div>
        <w:div w:id="1295525887">
          <w:marLeft w:val="0"/>
          <w:marRight w:val="0"/>
          <w:marTop w:val="0"/>
          <w:marBottom w:val="0"/>
          <w:divBdr>
            <w:top w:val="none" w:sz="0" w:space="0" w:color="auto"/>
            <w:left w:val="none" w:sz="0" w:space="0" w:color="auto"/>
            <w:bottom w:val="none" w:sz="0" w:space="0" w:color="auto"/>
            <w:right w:val="none" w:sz="0" w:space="0" w:color="auto"/>
          </w:divBdr>
        </w:div>
        <w:div w:id="1295525891">
          <w:marLeft w:val="0"/>
          <w:marRight w:val="0"/>
          <w:marTop w:val="0"/>
          <w:marBottom w:val="0"/>
          <w:divBdr>
            <w:top w:val="none" w:sz="0" w:space="0" w:color="auto"/>
            <w:left w:val="none" w:sz="0" w:space="0" w:color="auto"/>
            <w:bottom w:val="none" w:sz="0" w:space="0" w:color="auto"/>
            <w:right w:val="none" w:sz="0" w:space="0" w:color="auto"/>
          </w:divBdr>
        </w:div>
        <w:div w:id="1295525901">
          <w:marLeft w:val="0"/>
          <w:marRight w:val="0"/>
          <w:marTop w:val="0"/>
          <w:marBottom w:val="0"/>
          <w:divBdr>
            <w:top w:val="none" w:sz="0" w:space="0" w:color="auto"/>
            <w:left w:val="none" w:sz="0" w:space="0" w:color="auto"/>
            <w:bottom w:val="none" w:sz="0" w:space="0" w:color="auto"/>
            <w:right w:val="none" w:sz="0" w:space="0" w:color="auto"/>
          </w:divBdr>
        </w:div>
        <w:div w:id="1295525927">
          <w:marLeft w:val="0"/>
          <w:marRight w:val="0"/>
          <w:marTop w:val="0"/>
          <w:marBottom w:val="0"/>
          <w:divBdr>
            <w:top w:val="none" w:sz="0" w:space="0" w:color="auto"/>
            <w:left w:val="none" w:sz="0" w:space="0" w:color="auto"/>
            <w:bottom w:val="none" w:sz="0" w:space="0" w:color="auto"/>
            <w:right w:val="none" w:sz="0" w:space="0" w:color="auto"/>
          </w:divBdr>
        </w:div>
        <w:div w:id="1295525932">
          <w:marLeft w:val="0"/>
          <w:marRight w:val="0"/>
          <w:marTop w:val="0"/>
          <w:marBottom w:val="0"/>
          <w:divBdr>
            <w:top w:val="none" w:sz="0" w:space="0" w:color="auto"/>
            <w:left w:val="none" w:sz="0" w:space="0" w:color="auto"/>
            <w:bottom w:val="none" w:sz="0" w:space="0" w:color="auto"/>
            <w:right w:val="none" w:sz="0" w:space="0" w:color="auto"/>
          </w:divBdr>
        </w:div>
        <w:div w:id="1295525975">
          <w:marLeft w:val="0"/>
          <w:marRight w:val="0"/>
          <w:marTop w:val="0"/>
          <w:marBottom w:val="0"/>
          <w:divBdr>
            <w:top w:val="none" w:sz="0" w:space="0" w:color="auto"/>
            <w:left w:val="none" w:sz="0" w:space="0" w:color="auto"/>
            <w:bottom w:val="none" w:sz="0" w:space="0" w:color="auto"/>
            <w:right w:val="none" w:sz="0" w:space="0" w:color="auto"/>
          </w:divBdr>
        </w:div>
      </w:divsChild>
    </w:div>
    <w:div w:id="1295525884">
      <w:marLeft w:val="0"/>
      <w:marRight w:val="0"/>
      <w:marTop w:val="0"/>
      <w:marBottom w:val="0"/>
      <w:divBdr>
        <w:top w:val="none" w:sz="0" w:space="0" w:color="auto"/>
        <w:left w:val="none" w:sz="0" w:space="0" w:color="auto"/>
        <w:bottom w:val="none" w:sz="0" w:space="0" w:color="auto"/>
        <w:right w:val="none" w:sz="0" w:space="0" w:color="auto"/>
      </w:divBdr>
      <w:divsChild>
        <w:div w:id="1295525906">
          <w:marLeft w:val="0"/>
          <w:marRight w:val="0"/>
          <w:marTop w:val="0"/>
          <w:marBottom w:val="0"/>
          <w:divBdr>
            <w:top w:val="none" w:sz="0" w:space="0" w:color="auto"/>
            <w:left w:val="none" w:sz="0" w:space="0" w:color="auto"/>
            <w:bottom w:val="none" w:sz="0" w:space="0" w:color="auto"/>
            <w:right w:val="none" w:sz="0" w:space="0" w:color="auto"/>
          </w:divBdr>
          <w:divsChild>
            <w:div w:id="1295525874">
              <w:marLeft w:val="0"/>
              <w:marRight w:val="0"/>
              <w:marTop w:val="0"/>
              <w:marBottom w:val="0"/>
              <w:divBdr>
                <w:top w:val="none" w:sz="0" w:space="0" w:color="auto"/>
                <w:left w:val="none" w:sz="0" w:space="0" w:color="auto"/>
                <w:bottom w:val="none" w:sz="0" w:space="0" w:color="auto"/>
                <w:right w:val="none" w:sz="0" w:space="0" w:color="auto"/>
              </w:divBdr>
              <w:divsChild>
                <w:div w:id="1295525882">
                  <w:marLeft w:val="0"/>
                  <w:marRight w:val="0"/>
                  <w:marTop w:val="0"/>
                  <w:marBottom w:val="0"/>
                  <w:divBdr>
                    <w:top w:val="none" w:sz="0" w:space="0" w:color="auto"/>
                    <w:left w:val="none" w:sz="0" w:space="0" w:color="auto"/>
                    <w:bottom w:val="none" w:sz="0" w:space="0" w:color="auto"/>
                    <w:right w:val="none" w:sz="0" w:space="0" w:color="auto"/>
                  </w:divBdr>
                  <w:divsChild>
                    <w:div w:id="12955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25889">
      <w:marLeft w:val="0"/>
      <w:marRight w:val="0"/>
      <w:marTop w:val="0"/>
      <w:marBottom w:val="0"/>
      <w:divBdr>
        <w:top w:val="none" w:sz="0" w:space="0" w:color="auto"/>
        <w:left w:val="none" w:sz="0" w:space="0" w:color="auto"/>
        <w:bottom w:val="none" w:sz="0" w:space="0" w:color="auto"/>
        <w:right w:val="none" w:sz="0" w:space="0" w:color="auto"/>
      </w:divBdr>
      <w:divsChild>
        <w:div w:id="1295525958">
          <w:marLeft w:val="0"/>
          <w:marRight w:val="0"/>
          <w:marTop w:val="0"/>
          <w:marBottom w:val="0"/>
          <w:divBdr>
            <w:top w:val="none" w:sz="0" w:space="0" w:color="auto"/>
            <w:left w:val="none" w:sz="0" w:space="0" w:color="auto"/>
            <w:bottom w:val="none" w:sz="0" w:space="0" w:color="auto"/>
            <w:right w:val="none" w:sz="0" w:space="0" w:color="auto"/>
          </w:divBdr>
        </w:div>
      </w:divsChild>
    </w:div>
    <w:div w:id="1295525890">
      <w:marLeft w:val="0"/>
      <w:marRight w:val="0"/>
      <w:marTop w:val="0"/>
      <w:marBottom w:val="0"/>
      <w:divBdr>
        <w:top w:val="none" w:sz="0" w:space="0" w:color="auto"/>
        <w:left w:val="none" w:sz="0" w:space="0" w:color="auto"/>
        <w:bottom w:val="none" w:sz="0" w:space="0" w:color="auto"/>
        <w:right w:val="none" w:sz="0" w:space="0" w:color="auto"/>
      </w:divBdr>
    </w:div>
    <w:div w:id="1295525895">
      <w:marLeft w:val="0"/>
      <w:marRight w:val="0"/>
      <w:marTop w:val="0"/>
      <w:marBottom w:val="0"/>
      <w:divBdr>
        <w:top w:val="none" w:sz="0" w:space="0" w:color="auto"/>
        <w:left w:val="none" w:sz="0" w:space="0" w:color="auto"/>
        <w:bottom w:val="none" w:sz="0" w:space="0" w:color="auto"/>
        <w:right w:val="none" w:sz="0" w:space="0" w:color="auto"/>
      </w:divBdr>
    </w:div>
    <w:div w:id="1295525899">
      <w:marLeft w:val="0"/>
      <w:marRight w:val="0"/>
      <w:marTop w:val="0"/>
      <w:marBottom w:val="0"/>
      <w:divBdr>
        <w:top w:val="none" w:sz="0" w:space="0" w:color="auto"/>
        <w:left w:val="none" w:sz="0" w:space="0" w:color="auto"/>
        <w:bottom w:val="none" w:sz="0" w:space="0" w:color="auto"/>
        <w:right w:val="none" w:sz="0" w:space="0" w:color="auto"/>
      </w:divBdr>
    </w:div>
    <w:div w:id="1295525902">
      <w:marLeft w:val="0"/>
      <w:marRight w:val="0"/>
      <w:marTop w:val="0"/>
      <w:marBottom w:val="0"/>
      <w:divBdr>
        <w:top w:val="none" w:sz="0" w:space="0" w:color="auto"/>
        <w:left w:val="none" w:sz="0" w:space="0" w:color="auto"/>
        <w:bottom w:val="none" w:sz="0" w:space="0" w:color="auto"/>
        <w:right w:val="none" w:sz="0" w:space="0" w:color="auto"/>
      </w:divBdr>
      <w:divsChild>
        <w:div w:id="1295525892">
          <w:marLeft w:val="0"/>
          <w:marRight w:val="0"/>
          <w:marTop w:val="0"/>
          <w:marBottom w:val="0"/>
          <w:divBdr>
            <w:top w:val="none" w:sz="0" w:space="0" w:color="auto"/>
            <w:left w:val="none" w:sz="0" w:space="0" w:color="auto"/>
            <w:bottom w:val="none" w:sz="0" w:space="0" w:color="auto"/>
            <w:right w:val="none" w:sz="0" w:space="0" w:color="auto"/>
          </w:divBdr>
        </w:div>
        <w:div w:id="1295525894">
          <w:marLeft w:val="0"/>
          <w:marRight w:val="0"/>
          <w:marTop w:val="0"/>
          <w:marBottom w:val="0"/>
          <w:divBdr>
            <w:top w:val="none" w:sz="0" w:space="0" w:color="auto"/>
            <w:left w:val="none" w:sz="0" w:space="0" w:color="auto"/>
            <w:bottom w:val="none" w:sz="0" w:space="0" w:color="auto"/>
            <w:right w:val="none" w:sz="0" w:space="0" w:color="auto"/>
          </w:divBdr>
        </w:div>
        <w:div w:id="1295525951">
          <w:marLeft w:val="0"/>
          <w:marRight w:val="0"/>
          <w:marTop w:val="0"/>
          <w:marBottom w:val="0"/>
          <w:divBdr>
            <w:top w:val="none" w:sz="0" w:space="0" w:color="auto"/>
            <w:left w:val="none" w:sz="0" w:space="0" w:color="auto"/>
            <w:bottom w:val="none" w:sz="0" w:space="0" w:color="auto"/>
            <w:right w:val="none" w:sz="0" w:space="0" w:color="auto"/>
          </w:divBdr>
        </w:div>
        <w:div w:id="1295525955">
          <w:marLeft w:val="0"/>
          <w:marRight w:val="0"/>
          <w:marTop w:val="0"/>
          <w:marBottom w:val="0"/>
          <w:divBdr>
            <w:top w:val="none" w:sz="0" w:space="0" w:color="auto"/>
            <w:left w:val="none" w:sz="0" w:space="0" w:color="auto"/>
            <w:bottom w:val="none" w:sz="0" w:space="0" w:color="auto"/>
            <w:right w:val="none" w:sz="0" w:space="0" w:color="auto"/>
          </w:divBdr>
        </w:div>
        <w:div w:id="1295525959">
          <w:marLeft w:val="0"/>
          <w:marRight w:val="0"/>
          <w:marTop w:val="0"/>
          <w:marBottom w:val="0"/>
          <w:divBdr>
            <w:top w:val="none" w:sz="0" w:space="0" w:color="auto"/>
            <w:left w:val="none" w:sz="0" w:space="0" w:color="auto"/>
            <w:bottom w:val="none" w:sz="0" w:space="0" w:color="auto"/>
            <w:right w:val="none" w:sz="0" w:space="0" w:color="auto"/>
          </w:divBdr>
        </w:div>
        <w:div w:id="1295525972">
          <w:marLeft w:val="0"/>
          <w:marRight w:val="0"/>
          <w:marTop w:val="0"/>
          <w:marBottom w:val="0"/>
          <w:divBdr>
            <w:top w:val="none" w:sz="0" w:space="0" w:color="auto"/>
            <w:left w:val="none" w:sz="0" w:space="0" w:color="auto"/>
            <w:bottom w:val="none" w:sz="0" w:space="0" w:color="auto"/>
            <w:right w:val="none" w:sz="0" w:space="0" w:color="auto"/>
          </w:divBdr>
        </w:div>
      </w:divsChild>
    </w:div>
    <w:div w:id="1295525903">
      <w:marLeft w:val="0"/>
      <w:marRight w:val="0"/>
      <w:marTop w:val="0"/>
      <w:marBottom w:val="0"/>
      <w:divBdr>
        <w:top w:val="none" w:sz="0" w:space="0" w:color="auto"/>
        <w:left w:val="none" w:sz="0" w:space="0" w:color="auto"/>
        <w:bottom w:val="none" w:sz="0" w:space="0" w:color="auto"/>
        <w:right w:val="none" w:sz="0" w:space="0" w:color="auto"/>
      </w:divBdr>
    </w:div>
    <w:div w:id="1295525904">
      <w:marLeft w:val="0"/>
      <w:marRight w:val="0"/>
      <w:marTop w:val="0"/>
      <w:marBottom w:val="0"/>
      <w:divBdr>
        <w:top w:val="none" w:sz="0" w:space="0" w:color="auto"/>
        <w:left w:val="none" w:sz="0" w:space="0" w:color="auto"/>
        <w:bottom w:val="none" w:sz="0" w:space="0" w:color="auto"/>
        <w:right w:val="none" w:sz="0" w:space="0" w:color="auto"/>
      </w:divBdr>
    </w:div>
    <w:div w:id="1295525910">
      <w:marLeft w:val="0"/>
      <w:marRight w:val="0"/>
      <w:marTop w:val="0"/>
      <w:marBottom w:val="0"/>
      <w:divBdr>
        <w:top w:val="none" w:sz="0" w:space="0" w:color="auto"/>
        <w:left w:val="none" w:sz="0" w:space="0" w:color="auto"/>
        <w:bottom w:val="none" w:sz="0" w:space="0" w:color="auto"/>
        <w:right w:val="none" w:sz="0" w:space="0" w:color="auto"/>
      </w:divBdr>
    </w:div>
    <w:div w:id="1295525912">
      <w:marLeft w:val="0"/>
      <w:marRight w:val="0"/>
      <w:marTop w:val="0"/>
      <w:marBottom w:val="0"/>
      <w:divBdr>
        <w:top w:val="none" w:sz="0" w:space="0" w:color="auto"/>
        <w:left w:val="none" w:sz="0" w:space="0" w:color="auto"/>
        <w:bottom w:val="none" w:sz="0" w:space="0" w:color="auto"/>
        <w:right w:val="none" w:sz="0" w:space="0" w:color="auto"/>
      </w:divBdr>
    </w:div>
    <w:div w:id="1295525926">
      <w:marLeft w:val="0"/>
      <w:marRight w:val="0"/>
      <w:marTop w:val="0"/>
      <w:marBottom w:val="0"/>
      <w:divBdr>
        <w:top w:val="none" w:sz="0" w:space="0" w:color="auto"/>
        <w:left w:val="none" w:sz="0" w:space="0" w:color="auto"/>
        <w:bottom w:val="none" w:sz="0" w:space="0" w:color="auto"/>
        <w:right w:val="none" w:sz="0" w:space="0" w:color="auto"/>
      </w:divBdr>
      <w:divsChild>
        <w:div w:id="1295525870">
          <w:marLeft w:val="0"/>
          <w:marRight w:val="0"/>
          <w:marTop w:val="0"/>
          <w:marBottom w:val="0"/>
          <w:divBdr>
            <w:top w:val="none" w:sz="0" w:space="0" w:color="auto"/>
            <w:left w:val="none" w:sz="0" w:space="0" w:color="auto"/>
            <w:bottom w:val="none" w:sz="0" w:space="0" w:color="auto"/>
            <w:right w:val="none" w:sz="0" w:space="0" w:color="auto"/>
          </w:divBdr>
        </w:div>
        <w:div w:id="1295525897">
          <w:marLeft w:val="0"/>
          <w:marRight w:val="0"/>
          <w:marTop w:val="0"/>
          <w:marBottom w:val="0"/>
          <w:divBdr>
            <w:top w:val="none" w:sz="0" w:space="0" w:color="auto"/>
            <w:left w:val="none" w:sz="0" w:space="0" w:color="auto"/>
            <w:bottom w:val="none" w:sz="0" w:space="0" w:color="auto"/>
            <w:right w:val="none" w:sz="0" w:space="0" w:color="auto"/>
          </w:divBdr>
        </w:div>
        <w:div w:id="1295525921">
          <w:marLeft w:val="0"/>
          <w:marRight w:val="0"/>
          <w:marTop w:val="0"/>
          <w:marBottom w:val="0"/>
          <w:divBdr>
            <w:top w:val="none" w:sz="0" w:space="0" w:color="auto"/>
            <w:left w:val="none" w:sz="0" w:space="0" w:color="auto"/>
            <w:bottom w:val="none" w:sz="0" w:space="0" w:color="auto"/>
            <w:right w:val="none" w:sz="0" w:space="0" w:color="auto"/>
          </w:divBdr>
        </w:div>
        <w:div w:id="1295525931">
          <w:marLeft w:val="0"/>
          <w:marRight w:val="0"/>
          <w:marTop w:val="0"/>
          <w:marBottom w:val="0"/>
          <w:divBdr>
            <w:top w:val="none" w:sz="0" w:space="0" w:color="auto"/>
            <w:left w:val="none" w:sz="0" w:space="0" w:color="auto"/>
            <w:bottom w:val="none" w:sz="0" w:space="0" w:color="auto"/>
            <w:right w:val="none" w:sz="0" w:space="0" w:color="auto"/>
          </w:divBdr>
        </w:div>
        <w:div w:id="1295525953">
          <w:marLeft w:val="0"/>
          <w:marRight w:val="0"/>
          <w:marTop w:val="0"/>
          <w:marBottom w:val="0"/>
          <w:divBdr>
            <w:top w:val="none" w:sz="0" w:space="0" w:color="auto"/>
            <w:left w:val="none" w:sz="0" w:space="0" w:color="auto"/>
            <w:bottom w:val="none" w:sz="0" w:space="0" w:color="auto"/>
            <w:right w:val="none" w:sz="0" w:space="0" w:color="auto"/>
          </w:divBdr>
        </w:div>
        <w:div w:id="1295525960">
          <w:marLeft w:val="0"/>
          <w:marRight w:val="0"/>
          <w:marTop w:val="0"/>
          <w:marBottom w:val="0"/>
          <w:divBdr>
            <w:top w:val="none" w:sz="0" w:space="0" w:color="auto"/>
            <w:left w:val="none" w:sz="0" w:space="0" w:color="auto"/>
            <w:bottom w:val="none" w:sz="0" w:space="0" w:color="auto"/>
            <w:right w:val="none" w:sz="0" w:space="0" w:color="auto"/>
          </w:divBdr>
        </w:div>
        <w:div w:id="1295525962">
          <w:marLeft w:val="0"/>
          <w:marRight w:val="0"/>
          <w:marTop w:val="0"/>
          <w:marBottom w:val="0"/>
          <w:divBdr>
            <w:top w:val="none" w:sz="0" w:space="0" w:color="auto"/>
            <w:left w:val="none" w:sz="0" w:space="0" w:color="auto"/>
            <w:bottom w:val="none" w:sz="0" w:space="0" w:color="auto"/>
            <w:right w:val="none" w:sz="0" w:space="0" w:color="auto"/>
          </w:divBdr>
        </w:div>
        <w:div w:id="1295525968">
          <w:marLeft w:val="0"/>
          <w:marRight w:val="0"/>
          <w:marTop w:val="0"/>
          <w:marBottom w:val="0"/>
          <w:divBdr>
            <w:top w:val="none" w:sz="0" w:space="0" w:color="auto"/>
            <w:left w:val="none" w:sz="0" w:space="0" w:color="auto"/>
            <w:bottom w:val="none" w:sz="0" w:space="0" w:color="auto"/>
            <w:right w:val="none" w:sz="0" w:space="0" w:color="auto"/>
          </w:divBdr>
        </w:div>
        <w:div w:id="1295525971">
          <w:marLeft w:val="0"/>
          <w:marRight w:val="0"/>
          <w:marTop w:val="0"/>
          <w:marBottom w:val="0"/>
          <w:divBdr>
            <w:top w:val="none" w:sz="0" w:space="0" w:color="auto"/>
            <w:left w:val="none" w:sz="0" w:space="0" w:color="auto"/>
            <w:bottom w:val="none" w:sz="0" w:space="0" w:color="auto"/>
            <w:right w:val="none" w:sz="0" w:space="0" w:color="auto"/>
          </w:divBdr>
        </w:div>
        <w:div w:id="1295525980">
          <w:marLeft w:val="0"/>
          <w:marRight w:val="0"/>
          <w:marTop w:val="0"/>
          <w:marBottom w:val="0"/>
          <w:divBdr>
            <w:top w:val="none" w:sz="0" w:space="0" w:color="auto"/>
            <w:left w:val="none" w:sz="0" w:space="0" w:color="auto"/>
            <w:bottom w:val="none" w:sz="0" w:space="0" w:color="auto"/>
            <w:right w:val="none" w:sz="0" w:space="0" w:color="auto"/>
          </w:divBdr>
        </w:div>
        <w:div w:id="1295525984">
          <w:marLeft w:val="0"/>
          <w:marRight w:val="0"/>
          <w:marTop w:val="0"/>
          <w:marBottom w:val="0"/>
          <w:divBdr>
            <w:top w:val="none" w:sz="0" w:space="0" w:color="auto"/>
            <w:left w:val="none" w:sz="0" w:space="0" w:color="auto"/>
            <w:bottom w:val="none" w:sz="0" w:space="0" w:color="auto"/>
            <w:right w:val="none" w:sz="0" w:space="0" w:color="auto"/>
          </w:divBdr>
        </w:div>
      </w:divsChild>
    </w:div>
    <w:div w:id="1295525929">
      <w:marLeft w:val="0"/>
      <w:marRight w:val="0"/>
      <w:marTop w:val="0"/>
      <w:marBottom w:val="0"/>
      <w:divBdr>
        <w:top w:val="none" w:sz="0" w:space="0" w:color="auto"/>
        <w:left w:val="none" w:sz="0" w:space="0" w:color="auto"/>
        <w:bottom w:val="none" w:sz="0" w:space="0" w:color="auto"/>
        <w:right w:val="none" w:sz="0" w:space="0" w:color="auto"/>
      </w:divBdr>
    </w:div>
    <w:div w:id="1295525930">
      <w:marLeft w:val="0"/>
      <w:marRight w:val="0"/>
      <w:marTop w:val="0"/>
      <w:marBottom w:val="0"/>
      <w:divBdr>
        <w:top w:val="none" w:sz="0" w:space="0" w:color="auto"/>
        <w:left w:val="none" w:sz="0" w:space="0" w:color="auto"/>
        <w:bottom w:val="none" w:sz="0" w:space="0" w:color="auto"/>
        <w:right w:val="none" w:sz="0" w:space="0" w:color="auto"/>
      </w:divBdr>
    </w:div>
    <w:div w:id="1295525936">
      <w:marLeft w:val="0"/>
      <w:marRight w:val="0"/>
      <w:marTop w:val="0"/>
      <w:marBottom w:val="0"/>
      <w:divBdr>
        <w:top w:val="none" w:sz="0" w:space="0" w:color="auto"/>
        <w:left w:val="none" w:sz="0" w:space="0" w:color="auto"/>
        <w:bottom w:val="none" w:sz="0" w:space="0" w:color="auto"/>
        <w:right w:val="none" w:sz="0" w:space="0" w:color="auto"/>
      </w:divBdr>
    </w:div>
    <w:div w:id="1295525940">
      <w:marLeft w:val="0"/>
      <w:marRight w:val="0"/>
      <w:marTop w:val="0"/>
      <w:marBottom w:val="0"/>
      <w:divBdr>
        <w:top w:val="none" w:sz="0" w:space="0" w:color="auto"/>
        <w:left w:val="none" w:sz="0" w:space="0" w:color="auto"/>
        <w:bottom w:val="none" w:sz="0" w:space="0" w:color="auto"/>
        <w:right w:val="none" w:sz="0" w:space="0" w:color="auto"/>
      </w:divBdr>
    </w:div>
    <w:div w:id="1295525941">
      <w:marLeft w:val="0"/>
      <w:marRight w:val="0"/>
      <w:marTop w:val="0"/>
      <w:marBottom w:val="0"/>
      <w:divBdr>
        <w:top w:val="none" w:sz="0" w:space="0" w:color="auto"/>
        <w:left w:val="none" w:sz="0" w:space="0" w:color="auto"/>
        <w:bottom w:val="none" w:sz="0" w:space="0" w:color="auto"/>
        <w:right w:val="none" w:sz="0" w:space="0" w:color="auto"/>
      </w:divBdr>
      <w:divsChild>
        <w:div w:id="1295525909">
          <w:marLeft w:val="0"/>
          <w:marRight w:val="0"/>
          <w:marTop w:val="0"/>
          <w:marBottom w:val="0"/>
          <w:divBdr>
            <w:top w:val="none" w:sz="0" w:space="0" w:color="auto"/>
            <w:left w:val="none" w:sz="0" w:space="0" w:color="auto"/>
            <w:bottom w:val="none" w:sz="0" w:space="0" w:color="auto"/>
            <w:right w:val="none" w:sz="0" w:space="0" w:color="auto"/>
          </w:divBdr>
        </w:div>
        <w:div w:id="1295525916">
          <w:marLeft w:val="0"/>
          <w:marRight w:val="0"/>
          <w:marTop w:val="0"/>
          <w:marBottom w:val="0"/>
          <w:divBdr>
            <w:top w:val="none" w:sz="0" w:space="0" w:color="auto"/>
            <w:left w:val="none" w:sz="0" w:space="0" w:color="auto"/>
            <w:bottom w:val="none" w:sz="0" w:space="0" w:color="auto"/>
            <w:right w:val="none" w:sz="0" w:space="0" w:color="auto"/>
          </w:divBdr>
        </w:div>
        <w:div w:id="1295525925">
          <w:marLeft w:val="0"/>
          <w:marRight w:val="0"/>
          <w:marTop w:val="0"/>
          <w:marBottom w:val="0"/>
          <w:divBdr>
            <w:top w:val="none" w:sz="0" w:space="0" w:color="auto"/>
            <w:left w:val="none" w:sz="0" w:space="0" w:color="auto"/>
            <w:bottom w:val="none" w:sz="0" w:space="0" w:color="auto"/>
            <w:right w:val="none" w:sz="0" w:space="0" w:color="auto"/>
          </w:divBdr>
        </w:div>
        <w:div w:id="1295525986">
          <w:marLeft w:val="0"/>
          <w:marRight w:val="0"/>
          <w:marTop w:val="0"/>
          <w:marBottom w:val="0"/>
          <w:divBdr>
            <w:top w:val="none" w:sz="0" w:space="0" w:color="auto"/>
            <w:left w:val="none" w:sz="0" w:space="0" w:color="auto"/>
            <w:bottom w:val="none" w:sz="0" w:space="0" w:color="auto"/>
            <w:right w:val="none" w:sz="0" w:space="0" w:color="auto"/>
          </w:divBdr>
        </w:div>
      </w:divsChild>
    </w:div>
    <w:div w:id="1295525942">
      <w:marLeft w:val="0"/>
      <w:marRight w:val="0"/>
      <w:marTop w:val="0"/>
      <w:marBottom w:val="0"/>
      <w:divBdr>
        <w:top w:val="none" w:sz="0" w:space="0" w:color="auto"/>
        <w:left w:val="none" w:sz="0" w:space="0" w:color="auto"/>
        <w:bottom w:val="none" w:sz="0" w:space="0" w:color="auto"/>
        <w:right w:val="none" w:sz="0" w:space="0" w:color="auto"/>
      </w:divBdr>
      <w:divsChild>
        <w:div w:id="1295525868">
          <w:marLeft w:val="0"/>
          <w:marRight w:val="0"/>
          <w:marTop w:val="0"/>
          <w:marBottom w:val="0"/>
          <w:divBdr>
            <w:top w:val="none" w:sz="0" w:space="0" w:color="auto"/>
            <w:left w:val="none" w:sz="0" w:space="0" w:color="auto"/>
            <w:bottom w:val="none" w:sz="0" w:space="0" w:color="auto"/>
            <w:right w:val="none" w:sz="0" w:space="0" w:color="auto"/>
          </w:divBdr>
        </w:div>
        <w:div w:id="1295525978">
          <w:marLeft w:val="0"/>
          <w:marRight w:val="0"/>
          <w:marTop w:val="0"/>
          <w:marBottom w:val="0"/>
          <w:divBdr>
            <w:top w:val="none" w:sz="0" w:space="0" w:color="auto"/>
            <w:left w:val="none" w:sz="0" w:space="0" w:color="auto"/>
            <w:bottom w:val="none" w:sz="0" w:space="0" w:color="auto"/>
            <w:right w:val="none" w:sz="0" w:space="0" w:color="auto"/>
          </w:divBdr>
        </w:div>
        <w:div w:id="1295525995">
          <w:marLeft w:val="0"/>
          <w:marRight w:val="0"/>
          <w:marTop w:val="0"/>
          <w:marBottom w:val="0"/>
          <w:divBdr>
            <w:top w:val="none" w:sz="0" w:space="0" w:color="auto"/>
            <w:left w:val="none" w:sz="0" w:space="0" w:color="auto"/>
            <w:bottom w:val="none" w:sz="0" w:space="0" w:color="auto"/>
            <w:right w:val="none" w:sz="0" w:space="0" w:color="auto"/>
          </w:divBdr>
        </w:div>
      </w:divsChild>
    </w:div>
    <w:div w:id="1295525946">
      <w:marLeft w:val="0"/>
      <w:marRight w:val="0"/>
      <w:marTop w:val="0"/>
      <w:marBottom w:val="0"/>
      <w:divBdr>
        <w:top w:val="none" w:sz="0" w:space="0" w:color="auto"/>
        <w:left w:val="none" w:sz="0" w:space="0" w:color="auto"/>
        <w:bottom w:val="none" w:sz="0" w:space="0" w:color="auto"/>
        <w:right w:val="none" w:sz="0" w:space="0" w:color="auto"/>
      </w:divBdr>
    </w:div>
    <w:div w:id="1295525947">
      <w:marLeft w:val="0"/>
      <w:marRight w:val="0"/>
      <w:marTop w:val="0"/>
      <w:marBottom w:val="0"/>
      <w:divBdr>
        <w:top w:val="none" w:sz="0" w:space="0" w:color="auto"/>
        <w:left w:val="none" w:sz="0" w:space="0" w:color="auto"/>
        <w:bottom w:val="none" w:sz="0" w:space="0" w:color="auto"/>
        <w:right w:val="none" w:sz="0" w:space="0" w:color="auto"/>
      </w:divBdr>
      <w:divsChild>
        <w:div w:id="1295525918">
          <w:marLeft w:val="0"/>
          <w:marRight w:val="0"/>
          <w:marTop w:val="0"/>
          <w:marBottom w:val="0"/>
          <w:divBdr>
            <w:top w:val="none" w:sz="0" w:space="0" w:color="auto"/>
            <w:left w:val="none" w:sz="0" w:space="0" w:color="auto"/>
            <w:bottom w:val="none" w:sz="0" w:space="0" w:color="auto"/>
            <w:right w:val="none" w:sz="0" w:space="0" w:color="auto"/>
          </w:divBdr>
        </w:div>
        <w:div w:id="1295525991">
          <w:marLeft w:val="0"/>
          <w:marRight w:val="0"/>
          <w:marTop w:val="0"/>
          <w:marBottom w:val="0"/>
          <w:divBdr>
            <w:top w:val="none" w:sz="0" w:space="0" w:color="auto"/>
            <w:left w:val="none" w:sz="0" w:space="0" w:color="auto"/>
            <w:bottom w:val="none" w:sz="0" w:space="0" w:color="auto"/>
            <w:right w:val="none" w:sz="0" w:space="0" w:color="auto"/>
          </w:divBdr>
        </w:div>
      </w:divsChild>
    </w:div>
    <w:div w:id="1295525956">
      <w:marLeft w:val="0"/>
      <w:marRight w:val="0"/>
      <w:marTop w:val="0"/>
      <w:marBottom w:val="0"/>
      <w:divBdr>
        <w:top w:val="none" w:sz="0" w:space="0" w:color="auto"/>
        <w:left w:val="none" w:sz="0" w:space="0" w:color="auto"/>
        <w:bottom w:val="none" w:sz="0" w:space="0" w:color="auto"/>
        <w:right w:val="none" w:sz="0" w:space="0" w:color="auto"/>
      </w:divBdr>
      <w:divsChild>
        <w:div w:id="1295525872">
          <w:marLeft w:val="0"/>
          <w:marRight w:val="0"/>
          <w:marTop w:val="0"/>
          <w:marBottom w:val="0"/>
          <w:divBdr>
            <w:top w:val="none" w:sz="0" w:space="0" w:color="auto"/>
            <w:left w:val="none" w:sz="0" w:space="0" w:color="auto"/>
            <w:bottom w:val="none" w:sz="0" w:space="0" w:color="auto"/>
            <w:right w:val="none" w:sz="0" w:space="0" w:color="auto"/>
          </w:divBdr>
        </w:div>
        <w:div w:id="1295525879">
          <w:marLeft w:val="0"/>
          <w:marRight w:val="0"/>
          <w:marTop w:val="0"/>
          <w:marBottom w:val="0"/>
          <w:divBdr>
            <w:top w:val="none" w:sz="0" w:space="0" w:color="auto"/>
            <w:left w:val="none" w:sz="0" w:space="0" w:color="auto"/>
            <w:bottom w:val="none" w:sz="0" w:space="0" w:color="auto"/>
            <w:right w:val="none" w:sz="0" w:space="0" w:color="auto"/>
          </w:divBdr>
        </w:div>
        <w:div w:id="1295525888">
          <w:marLeft w:val="0"/>
          <w:marRight w:val="0"/>
          <w:marTop w:val="0"/>
          <w:marBottom w:val="0"/>
          <w:divBdr>
            <w:top w:val="none" w:sz="0" w:space="0" w:color="auto"/>
            <w:left w:val="none" w:sz="0" w:space="0" w:color="auto"/>
            <w:bottom w:val="none" w:sz="0" w:space="0" w:color="auto"/>
            <w:right w:val="none" w:sz="0" w:space="0" w:color="auto"/>
          </w:divBdr>
        </w:div>
        <w:div w:id="1295525914">
          <w:marLeft w:val="0"/>
          <w:marRight w:val="0"/>
          <w:marTop w:val="0"/>
          <w:marBottom w:val="0"/>
          <w:divBdr>
            <w:top w:val="none" w:sz="0" w:space="0" w:color="auto"/>
            <w:left w:val="none" w:sz="0" w:space="0" w:color="auto"/>
            <w:bottom w:val="none" w:sz="0" w:space="0" w:color="auto"/>
            <w:right w:val="none" w:sz="0" w:space="0" w:color="auto"/>
          </w:divBdr>
        </w:div>
        <w:div w:id="1295525923">
          <w:marLeft w:val="0"/>
          <w:marRight w:val="0"/>
          <w:marTop w:val="0"/>
          <w:marBottom w:val="0"/>
          <w:divBdr>
            <w:top w:val="none" w:sz="0" w:space="0" w:color="auto"/>
            <w:left w:val="none" w:sz="0" w:space="0" w:color="auto"/>
            <w:bottom w:val="none" w:sz="0" w:space="0" w:color="auto"/>
            <w:right w:val="none" w:sz="0" w:space="0" w:color="auto"/>
          </w:divBdr>
        </w:div>
        <w:div w:id="1295525964">
          <w:marLeft w:val="0"/>
          <w:marRight w:val="0"/>
          <w:marTop w:val="0"/>
          <w:marBottom w:val="0"/>
          <w:divBdr>
            <w:top w:val="none" w:sz="0" w:space="0" w:color="auto"/>
            <w:left w:val="none" w:sz="0" w:space="0" w:color="auto"/>
            <w:bottom w:val="none" w:sz="0" w:space="0" w:color="auto"/>
            <w:right w:val="none" w:sz="0" w:space="0" w:color="auto"/>
          </w:divBdr>
        </w:div>
      </w:divsChild>
    </w:div>
    <w:div w:id="1295525965">
      <w:marLeft w:val="0"/>
      <w:marRight w:val="0"/>
      <w:marTop w:val="0"/>
      <w:marBottom w:val="0"/>
      <w:divBdr>
        <w:top w:val="none" w:sz="0" w:space="0" w:color="auto"/>
        <w:left w:val="none" w:sz="0" w:space="0" w:color="auto"/>
        <w:bottom w:val="none" w:sz="0" w:space="0" w:color="auto"/>
        <w:right w:val="none" w:sz="0" w:space="0" w:color="auto"/>
      </w:divBdr>
    </w:div>
    <w:div w:id="1295525966">
      <w:marLeft w:val="0"/>
      <w:marRight w:val="0"/>
      <w:marTop w:val="0"/>
      <w:marBottom w:val="0"/>
      <w:divBdr>
        <w:top w:val="none" w:sz="0" w:space="0" w:color="auto"/>
        <w:left w:val="none" w:sz="0" w:space="0" w:color="auto"/>
        <w:bottom w:val="none" w:sz="0" w:space="0" w:color="auto"/>
        <w:right w:val="none" w:sz="0" w:space="0" w:color="auto"/>
      </w:divBdr>
    </w:div>
    <w:div w:id="1295525967">
      <w:marLeft w:val="0"/>
      <w:marRight w:val="0"/>
      <w:marTop w:val="0"/>
      <w:marBottom w:val="0"/>
      <w:divBdr>
        <w:top w:val="none" w:sz="0" w:space="0" w:color="auto"/>
        <w:left w:val="none" w:sz="0" w:space="0" w:color="auto"/>
        <w:bottom w:val="none" w:sz="0" w:space="0" w:color="auto"/>
        <w:right w:val="none" w:sz="0" w:space="0" w:color="auto"/>
      </w:divBdr>
    </w:div>
    <w:div w:id="1295525973">
      <w:marLeft w:val="0"/>
      <w:marRight w:val="0"/>
      <w:marTop w:val="0"/>
      <w:marBottom w:val="0"/>
      <w:divBdr>
        <w:top w:val="none" w:sz="0" w:space="0" w:color="auto"/>
        <w:left w:val="none" w:sz="0" w:space="0" w:color="auto"/>
        <w:bottom w:val="none" w:sz="0" w:space="0" w:color="auto"/>
        <w:right w:val="none" w:sz="0" w:space="0" w:color="auto"/>
      </w:divBdr>
      <w:divsChild>
        <w:div w:id="1295525900">
          <w:marLeft w:val="0"/>
          <w:marRight w:val="0"/>
          <w:marTop w:val="0"/>
          <w:marBottom w:val="0"/>
          <w:divBdr>
            <w:top w:val="none" w:sz="0" w:space="0" w:color="auto"/>
            <w:left w:val="none" w:sz="0" w:space="0" w:color="auto"/>
            <w:bottom w:val="none" w:sz="0" w:space="0" w:color="auto"/>
            <w:right w:val="none" w:sz="0" w:space="0" w:color="auto"/>
          </w:divBdr>
        </w:div>
        <w:div w:id="1295525924">
          <w:marLeft w:val="0"/>
          <w:marRight w:val="0"/>
          <w:marTop w:val="0"/>
          <w:marBottom w:val="0"/>
          <w:divBdr>
            <w:top w:val="none" w:sz="0" w:space="0" w:color="auto"/>
            <w:left w:val="none" w:sz="0" w:space="0" w:color="auto"/>
            <w:bottom w:val="none" w:sz="0" w:space="0" w:color="auto"/>
            <w:right w:val="none" w:sz="0" w:space="0" w:color="auto"/>
          </w:divBdr>
        </w:div>
        <w:div w:id="1295525948">
          <w:marLeft w:val="0"/>
          <w:marRight w:val="0"/>
          <w:marTop w:val="0"/>
          <w:marBottom w:val="0"/>
          <w:divBdr>
            <w:top w:val="none" w:sz="0" w:space="0" w:color="auto"/>
            <w:left w:val="none" w:sz="0" w:space="0" w:color="auto"/>
            <w:bottom w:val="none" w:sz="0" w:space="0" w:color="auto"/>
            <w:right w:val="none" w:sz="0" w:space="0" w:color="auto"/>
          </w:divBdr>
        </w:div>
        <w:div w:id="1295525957">
          <w:marLeft w:val="0"/>
          <w:marRight w:val="0"/>
          <w:marTop w:val="0"/>
          <w:marBottom w:val="0"/>
          <w:divBdr>
            <w:top w:val="none" w:sz="0" w:space="0" w:color="auto"/>
            <w:left w:val="none" w:sz="0" w:space="0" w:color="auto"/>
            <w:bottom w:val="none" w:sz="0" w:space="0" w:color="auto"/>
            <w:right w:val="none" w:sz="0" w:space="0" w:color="auto"/>
          </w:divBdr>
        </w:div>
        <w:div w:id="1295525976">
          <w:marLeft w:val="0"/>
          <w:marRight w:val="0"/>
          <w:marTop w:val="0"/>
          <w:marBottom w:val="0"/>
          <w:divBdr>
            <w:top w:val="none" w:sz="0" w:space="0" w:color="auto"/>
            <w:left w:val="none" w:sz="0" w:space="0" w:color="auto"/>
            <w:bottom w:val="none" w:sz="0" w:space="0" w:color="auto"/>
            <w:right w:val="none" w:sz="0" w:space="0" w:color="auto"/>
          </w:divBdr>
        </w:div>
        <w:div w:id="1295525993">
          <w:marLeft w:val="0"/>
          <w:marRight w:val="0"/>
          <w:marTop w:val="0"/>
          <w:marBottom w:val="0"/>
          <w:divBdr>
            <w:top w:val="none" w:sz="0" w:space="0" w:color="auto"/>
            <w:left w:val="none" w:sz="0" w:space="0" w:color="auto"/>
            <w:bottom w:val="none" w:sz="0" w:space="0" w:color="auto"/>
            <w:right w:val="none" w:sz="0" w:space="0" w:color="auto"/>
          </w:divBdr>
        </w:div>
      </w:divsChild>
    </w:div>
    <w:div w:id="1295525974">
      <w:marLeft w:val="0"/>
      <w:marRight w:val="0"/>
      <w:marTop w:val="0"/>
      <w:marBottom w:val="0"/>
      <w:divBdr>
        <w:top w:val="none" w:sz="0" w:space="0" w:color="auto"/>
        <w:left w:val="none" w:sz="0" w:space="0" w:color="auto"/>
        <w:bottom w:val="none" w:sz="0" w:space="0" w:color="auto"/>
        <w:right w:val="none" w:sz="0" w:space="0" w:color="auto"/>
      </w:divBdr>
    </w:div>
    <w:div w:id="1295525979">
      <w:marLeft w:val="0"/>
      <w:marRight w:val="0"/>
      <w:marTop w:val="0"/>
      <w:marBottom w:val="0"/>
      <w:divBdr>
        <w:top w:val="none" w:sz="0" w:space="0" w:color="auto"/>
        <w:left w:val="none" w:sz="0" w:space="0" w:color="auto"/>
        <w:bottom w:val="none" w:sz="0" w:space="0" w:color="auto"/>
        <w:right w:val="none" w:sz="0" w:space="0" w:color="auto"/>
      </w:divBdr>
    </w:div>
    <w:div w:id="1295525982">
      <w:marLeft w:val="0"/>
      <w:marRight w:val="0"/>
      <w:marTop w:val="0"/>
      <w:marBottom w:val="0"/>
      <w:divBdr>
        <w:top w:val="none" w:sz="0" w:space="0" w:color="auto"/>
        <w:left w:val="none" w:sz="0" w:space="0" w:color="auto"/>
        <w:bottom w:val="none" w:sz="0" w:space="0" w:color="auto"/>
        <w:right w:val="none" w:sz="0" w:space="0" w:color="auto"/>
      </w:divBdr>
      <w:divsChild>
        <w:div w:id="1295525873">
          <w:marLeft w:val="0"/>
          <w:marRight w:val="0"/>
          <w:marTop w:val="0"/>
          <w:marBottom w:val="0"/>
          <w:divBdr>
            <w:top w:val="none" w:sz="0" w:space="0" w:color="auto"/>
            <w:left w:val="none" w:sz="0" w:space="0" w:color="auto"/>
            <w:bottom w:val="none" w:sz="0" w:space="0" w:color="auto"/>
            <w:right w:val="none" w:sz="0" w:space="0" w:color="auto"/>
          </w:divBdr>
        </w:div>
        <w:div w:id="1295525883">
          <w:marLeft w:val="0"/>
          <w:marRight w:val="0"/>
          <w:marTop w:val="0"/>
          <w:marBottom w:val="0"/>
          <w:divBdr>
            <w:top w:val="none" w:sz="0" w:space="0" w:color="auto"/>
            <w:left w:val="none" w:sz="0" w:space="0" w:color="auto"/>
            <w:bottom w:val="none" w:sz="0" w:space="0" w:color="auto"/>
            <w:right w:val="none" w:sz="0" w:space="0" w:color="auto"/>
          </w:divBdr>
        </w:div>
        <w:div w:id="1295525913">
          <w:marLeft w:val="0"/>
          <w:marRight w:val="0"/>
          <w:marTop w:val="0"/>
          <w:marBottom w:val="0"/>
          <w:divBdr>
            <w:top w:val="none" w:sz="0" w:space="0" w:color="auto"/>
            <w:left w:val="none" w:sz="0" w:space="0" w:color="auto"/>
            <w:bottom w:val="none" w:sz="0" w:space="0" w:color="auto"/>
            <w:right w:val="none" w:sz="0" w:space="0" w:color="auto"/>
          </w:divBdr>
        </w:div>
        <w:div w:id="1295525934">
          <w:marLeft w:val="0"/>
          <w:marRight w:val="0"/>
          <w:marTop w:val="0"/>
          <w:marBottom w:val="0"/>
          <w:divBdr>
            <w:top w:val="none" w:sz="0" w:space="0" w:color="auto"/>
            <w:left w:val="none" w:sz="0" w:space="0" w:color="auto"/>
            <w:bottom w:val="none" w:sz="0" w:space="0" w:color="auto"/>
            <w:right w:val="none" w:sz="0" w:space="0" w:color="auto"/>
          </w:divBdr>
        </w:div>
        <w:div w:id="1295525937">
          <w:marLeft w:val="0"/>
          <w:marRight w:val="0"/>
          <w:marTop w:val="0"/>
          <w:marBottom w:val="0"/>
          <w:divBdr>
            <w:top w:val="none" w:sz="0" w:space="0" w:color="auto"/>
            <w:left w:val="none" w:sz="0" w:space="0" w:color="auto"/>
            <w:bottom w:val="none" w:sz="0" w:space="0" w:color="auto"/>
            <w:right w:val="none" w:sz="0" w:space="0" w:color="auto"/>
          </w:divBdr>
        </w:div>
        <w:div w:id="1295525970">
          <w:marLeft w:val="0"/>
          <w:marRight w:val="0"/>
          <w:marTop w:val="0"/>
          <w:marBottom w:val="0"/>
          <w:divBdr>
            <w:top w:val="none" w:sz="0" w:space="0" w:color="auto"/>
            <w:left w:val="none" w:sz="0" w:space="0" w:color="auto"/>
            <w:bottom w:val="none" w:sz="0" w:space="0" w:color="auto"/>
            <w:right w:val="none" w:sz="0" w:space="0" w:color="auto"/>
          </w:divBdr>
        </w:div>
        <w:div w:id="1295525981">
          <w:marLeft w:val="0"/>
          <w:marRight w:val="0"/>
          <w:marTop w:val="0"/>
          <w:marBottom w:val="0"/>
          <w:divBdr>
            <w:top w:val="none" w:sz="0" w:space="0" w:color="auto"/>
            <w:left w:val="none" w:sz="0" w:space="0" w:color="auto"/>
            <w:bottom w:val="none" w:sz="0" w:space="0" w:color="auto"/>
            <w:right w:val="none" w:sz="0" w:space="0" w:color="auto"/>
          </w:divBdr>
        </w:div>
        <w:div w:id="1295525994">
          <w:marLeft w:val="0"/>
          <w:marRight w:val="0"/>
          <w:marTop w:val="0"/>
          <w:marBottom w:val="0"/>
          <w:divBdr>
            <w:top w:val="none" w:sz="0" w:space="0" w:color="auto"/>
            <w:left w:val="none" w:sz="0" w:space="0" w:color="auto"/>
            <w:bottom w:val="none" w:sz="0" w:space="0" w:color="auto"/>
            <w:right w:val="none" w:sz="0" w:space="0" w:color="auto"/>
          </w:divBdr>
        </w:div>
      </w:divsChild>
    </w:div>
    <w:div w:id="1295525983">
      <w:marLeft w:val="0"/>
      <w:marRight w:val="0"/>
      <w:marTop w:val="0"/>
      <w:marBottom w:val="0"/>
      <w:divBdr>
        <w:top w:val="none" w:sz="0" w:space="0" w:color="auto"/>
        <w:left w:val="none" w:sz="0" w:space="0" w:color="auto"/>
        <w:bottom w:val="none" w:sz="0" w:space="0" w:color="auto"/>
        <w:right w:val="none" w:sz="0" w:space="0" w:color="auto"/>
      </w:divBdr>
    </w:div>
    <w:div w:id="1295525987">
      <w:marLeft w:val="0"/>
      <w:marRight w:val="0"/>
      <w:marTop w:val="0"/>
      <w:marBottom w:val="0"/>
      <w:divBdr>
        <w:top w:val="none" w:sz="0" w:space="0" w:color="auto"/>
        <w:left w:val="none" w:sz="0" w:space="0" w:color="auto"/>
        <w:bottom w:val="none" w:sz="0" w:space="0" w:color="auto"/>
        <w:right w:val="none" w:sz="0" w:space="0" w:color="auto"/>
      </w:divBdr>
      <w:divsChild>
        <w:div w:id="1295525859">
          <w:marLeft w:val="0"/>
          <w:marRight w:val="0"/>
          <w:marTop w:val="0"/>
          <w:marBottom w:val="0"/>
          <w:divBdr>
            <w:top w:val="none" w:sz="0" w:space="0" w:color="auto"/>
            <w:left w:val="none" w:sz="0" w:space="0" w:color="auto"/>
            <w:bottom w:val="none" w:sz="0" w:space="0" w:color="auto"/>
            <w:right w:val="none" w:sz="0" w:space="0" w:color="auto"/>
          </w:divBdr>
        </w:div>
        <w:div w:id="1295525860">
          <w:marLeft w:val="0"/>
          <w:marRight w:val="0"/>
          <w:marTop w:val="0"/>
          <w:marBottom w:val="0"/>
          <w:divBdr>
            <w:top w:val="none" w:sz="0" w:space="0" w:color="auto"/>
            <w:left w:val="none" w:sz="0" w:space="0" w:color="auto"/>
            <w:bottom w:val="none" w:sz="0" w:space="0" w:color="auto"/>
            <w:right w:val="none" w:sz="0" w:space="0" w:color="auto"/>
          </w:divBdr>
        </w:div>
        <w:div w:id="1295525861">
          <w:marLeft w:val="0"/>
          <w:marRight w:val="0"/>
          <w:marTop w:val="0"/>
          <w:marBottom w:val="0"/>
          <w:divBdr>
            <w:top w:val="none" w:sz="0" w:space="0" w:color="auto"/>
            <w:left w:val="none" w:sz="0" w:space="0" w:color="auto"/>
            <w:bottom w:val="none" w:sz="0" w:space="0" w:color="auto"/>
            <w:right w:val="none" w:sz="0" w:space="0" w:color="auto"/>
          </w:divBdr>
        </w:div>
        <w:div w:id="1295525869">
          <w:marLeft w:val="0"/>
          <w:marRight w:val="0"/>
          <w:marTop w:val="0"/>
          <w:marBottom w:val="0"/>
          <w:divBdr>
            <w:top w:val="none" w:sz="0" w:space="0" w:color="auto"/>
            <w:left w:val="none" w:sz="0" w:space="0" w:color="auto"/>
            <w:bottom w:val="none" w:sz="0" w:space="0" w:color="auto"/>
            <w:right w:val="none" w:sz="0" w:space="0" w:color="auto"/>
          </w:divBdr>
        </w:div>
        <w:div w:id="1295525880">
          <w:marLeft w:val="0"/>
          <w:marRight w:val="0"/>
          <w:marTop w:val="0"/>
          <w:marBottom w:val="0"/>
          <w:divBdr>
            <w:top w:val="none" w:sz="0" w:space="0" w:color="auto"/>
            <w:left w:val="none" w:sz="0" w:space="0" w:color="auto"/>
            <w:bottom w:val="none" w:sz="0" w:space="0" w:color="auto"/>
            <w:right w:val="none" w:sz="0" w:space="0" w:color="auto"/>
          </w:divBdr>
        </w:div>
        <w:div w:id="1295525885">
          <w:marLeft w:val="0"/>
          <w:marRight w:val="0"/>
          <w:marTop w:val="0"/>
          <w:marBottom w:val="0"/>
          <w:divBdr>
            <w:top w:val="none" w:sz="0" w:space="0" w:color="auto"/>
            <w:left w:val="none" w:sz="0" w:space="0" w:color="auto"/>
            <w:bottom w:val="none" w:sz="0" w:space="0" w:color="auto"/>
            <w:right w:val="none" w:sz="0" w:space="0" w:color="auto"/>
          </w:divBdr>
        </w:div>
        <w:div w:id="1295525905">
          <w:marLeft w:val="0"/>
          <w:marRight w:val="0"/>
          <w:marTop w:val="0"/>
          <w:marBottom w:val="0"/>
          <w:divBdr>
            <w:top w:val="none" w:sz="0" w:space="0" w:color="auto"/>
            <w:left w:val="none" w:sz="0" w:space="0" w:color="auto"/>
            <w:bottom w:val="none" w:sz="0" w:space="0" w:color="auto"/>
            <w:right w:val="none" w:sz="0" w:space="0" w:color="auto"/>
          </w:divBdr>
        </w:div>
        <w:div w:id="1295525928">
          <w:marLeft w:val="0"/>
          <w:marRight w:val="0"/>
          <w:marTop w:val="0"/>
          <w:marBottom w:val="0"/>
          <w:divBdr>
            <w:top w:val="none" w:sz="0" w:space="0" w:color="auto"/>
            <w:left w:val="none" w:sz="0" w:space="0" w:color="auto"/>
            <w:bottom w:val="none" w:sz="0" w:space="0" w:color="auto"/>
            <w:right w:val="none" w:sz="0" w:space="0" w:color="auto"/>
          </w:divBdr>
        </w:div>
        <w:div w:id="1295525933">
          <w:marLeft w:val="0"/>
          <w:marRight w:val="0"/>
          <w:marTop w:val="0"/>
          <w:marBottom w:val="0"/>
          <w:divBdr>
            <w:top w:val="none" w:sz="0" w:space="0" w:color="auto"/>
            <w:left w:val="none" w:sz="0" w:space="0" w:color="auto"/>
            <w:bottom w:val="none" w:sz="0" w:space="0" w:color="auto"/>
            <w:right w:val="none" w:sz="0" w:space="0" w:color="auto"/>
          </w:divBdr>
        </w:div>
        <w:div w:id="1295525935">
          <w:marLeft w:val="0"/>
          <w:marRight w:val="0"/>
          <w:marTop w:val="0"/>
          <w:marBottom w:val="0"/>
          <w:divBdr>
            <w:top w:val="none" w:sz="0" w:space="0" w:color="auto"/>
            <w:left w:val="none" w:sz="0" w:space="0" w:color="auto"/>
            <w:bottom w:val="none" w:sz="0" w:space="0" w:color="auto"/>
            <w:right w:val="none" w:sz="0" w:space="0" w:color="auto"/>
          </w:divBdr>
        </w:div>
        <w:div w:id="1295525938">
          <w:marLeft w:val="0"/>
          <w:marRight w:val="0"/>
          <w:marTop w:val="0"/>
          <w:marBottom w:val="0"/>
          <w:divBdr>
            <w:top w:val="none" w:sz="0" w:space="0" w:color="auto"/>
            <w:left w:val="none" w:sz="0" w:space="0" w:color="auto"/>
            <w:bottom w:val="none" w:sz="0" w:space="0" w:color="auto"/>
            <w:right w:val="none" w:sz="0" w:space="0" w:color="auto"/>
          </w:divBdr>
        </w:div>
        <w:div w:id="1295525945">
          <w:marLeft w:val="0"/>
          <w:marRight w:val="0"/>
          <w:marTop w:val="0"/>
          <w:marBottom w:val="0"/>
          <w:divBdr>
            <w:top w:val="none" w:sz="0" w:space="0" w:color="auto"/>
            <w:left w:val="none" w:sz="0" w:space="0" w:color="auto"/>
            <w:bottom w:val="none" w:sz="0" w:space="0" w:color="auto"/>
            <w:right w:val="none" w:sz="0" w:space="0" w:color="auto"/>
          </w:divBdr>
        </w:div>
        <w:div w:id="1295525950">
          <w:marLeft w:val="0"/>
          <w:marRight w:val="0"/>
          <w:marTop w:val="0"/>
          <w:marBottom w:val="0"/>
          <w:divBdr>
            <w:top w:val="none" w:sz="0" w:space="0" w:color="auto"/>
            <w:left w:val="none" w:sz="0" w:space="0" w:color="auto"/>
            <w:bottom w:val="none" w:sz="0" w:space="0" w:color="auto"/>
            <w:right w:val="none" w:sz="0" w:space="0" w:color="auto"/>
          </w:divBdr>
        </w:div>
        <w:div w:id="1295525961">
          <w:marLeft w:val="0"/>
          <w:marRight w:val="0"/>
          <w:marTop w:val="0"/>
          <w:marBottom w:val="0"/>
          <w:divBdr>
            <w:top w:val="none" w:sz="0" w:space="0" w:color="auto"/>
            <w:left w:val="none" w:sz="0" w:space="0" w:color="auto"/>
            <w:bottom w:val="none" w:sz="0" w:space="0" w:color="auto"/>
            <w:right w:val="none" w:sz="0" w:space="0" w:color="auto"/>
          </w:divBdr>
        </w:div>
        <w:div w:id="1295525977">
          <w:marLeft w:val="0"/>
          <w:marRight w:val="0"/>
          <w:marTop w:val="0"/>
          <w:marBottom w:val="0"/>
          <w:divBdr>
            <w:top w:val="none" w:sz="0" w:space="0" w:color="auto"/>
            <w:left w:val="none" w:sz="0" w:space="0" w:color="auto"/>
            <w:bottom w:val="none" w:sz="0" w:space="0" w:color="auto"/>
            <w:right w:val="none" w:sz="0" w:space="0" w:color="auto"/>
          </w:divBdr>
        </w:div>
      </w:divsChild>
    </w:div>
    <w:div w:id="1295525988">
      <w:marLeft w:val="0"/>
      <w:marRight w:val="0"/>
      <w:marTop w:val="0"/>
      <w:marBottom w:val="0"/>
      <w:divBdr>
        <w:top w:val="none" w:sz="0" w:space="0" w:color="auto"/>
        <w:left w:val="none" w:sz="0" w:space="0" w:color="auto"/>
        <w:bottom w:val="none" w:sz="0" w:space="0" w:color="auto"/>
        <w:right w:val="none" w:sz="0" w:space="0" w:color="auto"/>
      </w:divBdr>
    </w:div>
    <w:div w:id="1295525990">
      <w:marLeft w:val="0"/>
      <w:marRight w:val="0"/>
      <w:marTop w:val="0"/>
      <w:marBottom w:val="0"/>
      <w:divBdr>
        <w:top w:val="none" w:sz="0" w:space="0" w:color="auto"/>
        <w:left w:val="none" w:sz="0" w:space="0" w:color="auto"/>
        <w:bottom w:val="none" w:sz="0" w:space="0" w:color="auto"/>
        <w:right w:val="none" w:sz="0" w:space="0" w:color="auto"/>
      </w:divBdr>
      <w:divsChild>
        <w:div w:id="1295525875">
          <w:marLeft w:val="0"/>
          <w:marRight w:val="0"/>
          <w:marTop w:val="0"/>
          <w:marBottom w:val="0"/>
          <w:divBdr>
            <w:top w:val="none" w:sz="0" w:space="0" w:color="auto"/>
            <w:left w:val="none" w:sz="0" w:space="0" w:color="auto"/>
            <w:bottom w:val="none" w:sz="0" w:space="0" w:color="auto"/>
            <w:right w:val="none" w:sz="0" w:space="0" w:color="auto"/>
          </w:divBdr>
        </w:div>
        <w:div w:id="1295525949">
          <w:marLeft w:val="0"/>
          <w:marRight w:val="0"/>
          <w:marTop w:val="0"/>
          <w:marBottom w:val="0"/>
          <w:divBdr>
            <w:top w:val="none" w:sz="0" w:space="0" w:color="auto"/>
            <w:left w:val="none" w:sz="0" w:space="0" w:color="auto"/>
            <w:bottom w:val="none" w:sz="0" w:space="0" w:color="auto"/>
            <w:right w:val="none" w:sz="0" w:space="0" w:color="auto"/>
          </w:divBdr>
        </w:div>
        <w:div w:id="1295525952">
          <w:marLeft w:val="0"/>
          <w:marRight w:val="0"/>
          <w:marTop w:val="0"/>
          <w:marBottom w:val="0"/>
          <w:divBdr>
            <w:top w:val="none" w:sz="0" w:space="0" w:color="auto"/>
            <w:left w:val="none" w:sz="0" w:space="0" w:color="auto"/>
            <w:bottom w:val="none" w:sz="0" w:space="0" w:color="auto"/>
            <w:right w:val="none" w:sz="0" w:space="0" w:color="auto"/>
          </w:divBdr>
        </w:div>
        <w:div w:id="1295525954">
          <w:marLeft w:val="0"/>
          <w:marRight w:val="0"/>
          <w:marTop w:val="0"/>
          <w:marBottom w:val="0"/>
          <w:divBdr>
            <w:top w:val="none" w:sz="0" w:space="0" w:color="auto"/>
            <w:left w:val="none" w:sz="0" w:space="0" w:color="auto"/>
            <w:bottom w:val="none" w:sz="0" w:space="0" w:color="auto"/>
            <w:right w:val="none" w:sz="0" w:space="0" w:color="auto"/>
          </w:divBdr>
        </w:div>
        <w:div w:id="1295525963">
          <w:marLeft w:val="0"/>
          <w:marRight w:val="0"/>
          <w:marTop w:val="0"/>
          <w:marBottom w:val="0"/>
          <w:divBdr>
            <w:top w:val="none" w:sz="0" w:space="0" w:color="auto"/>
            <w:left w:val="none" w:sz="0" w:space="0" w:color="auto"/>
            <w:bottom w:val="none" w:sz="0" w:space="0" w:color="auto"/>
            <w:right w:val="none" w:sz="0" w:space="0" w:color="auto"/>
          </w:divBdr>
        </w:div>
        <w:div w:id="1295525985">
          <w:marLeft w:val="0"/>
          <w:marRight w:val="0"/>
          <w:marTop w:val="0"/>
          <w:marBottom w:val="0"/>
          <w:divBdr>
            <w:top w:val="none" w:sz="0" w:space="0" w:color="auto"/>
            <w:left w:val="none" w:sz="0" w:space="0" w:color="auto"/>
            <w:bottom w:val="none" w:sz="0" w:space="0" w:color="auto"/>
            <w:right w:val="none" w:sz="0" w:space="0" w:color="auto"/>
          </w:divBdr>
        </w:div>
      </w:divsChild>
    </w:div>
    <w:div w:id="1295525992">
      <w:marLeft w:val="0"/>
      <w:marRight w:val="0"/>
      <w:marTop w:val="0"/>
      <w:marBottom w:val="0"/>
      <w:divBdr>
        <w:top w:val="none" w:sz="0" w:space="0" w:color="auto"/>
        <w:left w:val="none" w:sz="0" w:space="0" w:color="auto"/>
        <w:bottom w:val="none" w:sz="0" w:space="0" w:color="auto"/>
        <w:right w:val="none" w:sz="0" w:space="0" w:color="auto"/>
      </w:divBdr>
      <w:divsChild>
        <w:div w:id="1295525863">
          <w:marLeft w:val="0"/>
          <w:marRight w:val="0"/>
          <w:marTop w:val="0"/>
          <w:marBottom w:val="0"/>
          <w:divBdr>
            <w:top w:val="none" w:sz="0" w:space="0" w:color="auto"/>
            <w:left w:val="none" w:sz="0" w:space="0" w:color="auto"/>
            <w:bottom w:val="none" w:sz="0" w:space="0" w:color="auto"/>
            <w:right w:val="none" w:sz="0" w:space="0" w:color="auto"/>
          </w:divBdr>
        </w:div>
        <w:div w:id="1295525896">
          <w:marLeft w:val="0"/>
          <w:marRight w:val="0"/>
          <w:marTop w:val="0"/>
          <w:marBottom w:val="0"/>
          <w:divBdr>
            <w:top w:val="none" w:sz="0" w:space="0" w:color="auto"/>
            <w:left w:val="none" w:sz="0" w:space="0" w:color="auto"/>
            <w:bottom w:val="none" w:sz="0" w:space="0" w:color="auto"/>
            <w:right w:val="none" w:sz="0" w:space="0" w:color="auto"/>
          </w:divBdr>
        </w:div>
        <w:div w:id="1295525915">
          <w:marLeft w:val="0"/>
          <w:marRight w:val="0"/>
          <w:marTop w:val="0"/>
          <w:marBottom w:val="0"/>
          <w:divBdr>
            <w:top w:val="none" w:sz="0" w:space="0" w:color="auto"/>
            <w:left w:val="none" w:sz="0" w:space="0" w:color="auto"/>
            <w:bottom w:val="none" w:sz="0" w:space="0" w:color="auto"/>
            <w:right w:val="none" w:sz="0" w:space="0" w:color="auto"/>
          </w:divBdr>
        </w:div>
        <w:div w:id="1295525922">
          <w:marLeft w:val="0"/>
          <w:marRight w:val="0"/>
          <w:marTop w:val="0"/>
          <w:marBottom w:val="0"/>
          <w:divBdr>
            <w:top w:val="none" w:sz="0" w:space="0" w:color="auto"/>
            <w:left w:val="none" w:sz="0" w:space="0" w:color="auto"/>
            <w:bottom w:val="none" w:sz="0" w:space="0" w:color="auto"/>
            <w:right w:val="none" w:sz="0" w:space="0" w:color="auto"/>
          </w:divBdr>
        </w:div>
      </w:divsChild>
    </w:div>
    <w:div w:id="1295525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6630</Words>
  <Characters>37793</Characters>
  <Application>Microsoft Office Word</Application>
  <DocSecurity>0</DocSecurity>
  <Lines>314</Lines>
  <Paragraphs>88</Paragraphs>
  <ScaleCrop>false</ScaleCrop>
  <HeadingPairs>
    <vt:vector size="2" baseType="variant">
      <vt:variant>
        <vt:lpstr>Titolo</vt:lpstr>
      </vt:variant>
      <vt:variant>
        <vt:i4>1</vt:i4>
      </vt:variant>
    </vt:vector>
  </HeadingPairs>
  <TitlesOfParts>
    <vt:vector size="1" baseType="lpstr">
      <vt:lpstr>Il percorso</vt:lpstr>
    </vt:vector>
  </TitlesOfParts>
  <Company>Microsoft</Company>
  <LinksUpToDate>false</LinksUpToDate>
  <CharactersWithSpaces>44335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percorso</dc:title>
  <dc:creator>Utente</dc:creator>
  <cp:lastModifiedBy>Paolo</cp:lastModifiedBy>
  <cp:revision>2</cp:revision>
  <cp:lastPrinted>2020-08-07T09:31:00Z</cp:lastPrinted>
  <dcterms:created xsi:type="dcterms:W3CDTF">2021-05-26T14:03:00Z</dcterms:created>
  <dcterms:modified xsi:type="dcterms:W3CDTF">2021-05-26T14:03:00Z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-139111215</vt:i4>
  </property>
  <property fmtid="{D5CDD505-2E9C-101B-9397-08002B2CF9AE}" pid="3" name="_EmailSubject">
    <vt:lpwstr/>
  </property>
  <property fmtid="{D5CDD505-2E9C-101B-9397-08002B2CF9AE}" pid="4" name="_AuthorEmail">
    <vt:lpwstr>m.franchini@usl11.toscana.it</vt:lpwstr>
  </property>
  <property fmtid="{D5CDD505-2E9C-101B-9397-08002B2CF9AE}" pid="5" name="_AuthorEmailDisplayName">
    <vt:lpwstr>Michela Franchini</vt:lpwstr>
  </property>
  <property fmtid="{D5CDD505-2E9C-101B-9397-08002B2CF9AE}" pid="6" name="_PreviousAdHocReviewCycleID">
    <vt:i4>829752472</vt:i4>
  </property>
  <property fmtid="{D5CDD505-2E9C-101B-9397-08002B2CF9AE}" pid="7" name="_ReviewingToolsShownOnce">
    <vt:lpwstr/>
  </property>
</Properties>
</file>